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43FFD" w14:textId="24D585E0" w:rsidR="000C2167" w:rsidRPr="001D3E64" w:rsidRDefault="000C2167" w:rsidP="00DA225A">
      <w:pPr>
        <w:spacing w:line="480" w:lineRule="auto"/>
        <w:jc w:val="center"/>
        <w:rPr>
          <w:rFonts w:ascii="Times" w:hAnsi="Times"/>
          <w:b/>
          <w:lang w:val="en-AU"/>
        </w:rPr>
      </w:pPr>
      <w:bookmarkStart w:id="0" w:name="_GoBack"/>
      <w:bookmarkEnd w:id="0"/>
      <w:r w:rsidRPr="001D3E64">
        <w:rPr>
          <w:rFonts w:ascii="Times" w:hAnsi="Times"/>
          <w:b/>
          <w:lang w:val="en-AU"/>
        </w:rPr>
        <w:t>ONLINE SUPPLEMENT</w:t>
      </w:r>
    </w:p>
    <w:p w14:paraId="31A7E8AF" w14:textId="77777777" w:rsidR="00DA225A" w:rsidRPr="001D3E64" w:rsidRDefault="00DA225A" w:rsidP="00DA225A">
      <w:pPr>
        <w:spacing w:line="480" w:lineRule="auto"/>
        <w:rPr>
          <w:rFonts w:ascii="Times" w:hAnsi="Times"/>
          <w:bCs/>
          <w:color w:val="000000" w:themeColor="text1"/>
          <w:lang w:val="en-US"/>
        </w:rPr>
      </w:pPr>
      <w:r w:rsidRPr="001D3E64">
        <w:rPr>
          <w:rFonts w:ascii="Times" w:hAnsi="Times"/>
          <w:b/>
          <w:color w:val="000000" w:themeColor="text1"/>
          <w:lang w:val="en-AU"/>
        </w:rPr>
        <w:t xml:space="preserve">Title: </w:t>
      </w:r>
      <w:r w:rsidRPr="001D3E64">
        <w:rPr>
          <w:rFonts w:ascii="Times" w:hAnsi="Times"/>
          <w:bCs/>
          <w:color w:val="000000" w:themeColor="text1"/>
          <w:lang w:val="en-US"/>
        </w:rPr>
        <w:t>In adults hospitalised with community-acquired pneumonia step count is reduced in those with greater clinical frailty.</w:t>
      </w:r>
    </w:p>
    <w:p w14:paraId="11964516" w14:textId="77777777" w:rsidR="00DA225A" w:rsidRPr="001D3E64" w:rsidRDefault="00DA225A" w:rsidP="00DA225A">
      <w:pPr>
        <w:widowControl w:val="0"/>
        <w:autoSpaceDE w:val="0"/>
        <w:autoSpaceDN w:val="0"/>
        <w:adjustRightInd w:val="0"/>
        <w:spacing w:after="160" w:line="480" w:lineRule="auto"/>
        <w:contextualSpacing/>
        <w:rPr>
          <w:rFonts w:ascii="Times" w:hAnsi="Times"/>
          <w:b/>
          <w:color w:val="000000" w:themeColor="text1"/>
          <w:lang w:val="en-AU"/>
        </w:rPr>
      </w:pPr>
      <w:r w:rsidRPr="001D3E64">
        <w:rPr>
          <w:rFonts w:ascii="Times" w:hAnsi="Times"/>
          <w:b/>
          <w:color w:val="000000" w:themeColor="text1"/>
          <w:lang w:val="en-AU"/>
        </w:rPr>
        <w:t xml:space="preserve">Author names, credentials, academic degrees and affiliations: </w:t>
      </w:r>
    </w:p>
    <w:p w14:paraId="4CE529B8" w14:textId="77777777" w:rsidR="00DA225A" w:rsidRPr="001D3E64" w:rsidRDefault="00DA225A" w:rsidP="00DA225A">
      <w:pPr>
        <w:widowControl w:val="0"/>
        <w:autoSpaceDE w:val="0"/>
        <w:autoSpaceDN w:val="0"/>
        <w:adjustRightInd w:val="0"/>
        <w:spacing w:after="160" w:line="480" w:lineRule="auto"/>
        <w:rPr>
          <w:rFonts w:ascii="Times" w:hAnsi="Times"/>
          <w:bCs/>
          <w:color w:val="000000" w:themeColor="text1"/>
          <w:lang w:val="en-US"/>
        </w:rPr>
      </w:pPr>
      <w:r w:rsidRPr="001D3E64">
        <w:rPr>
          <w:rFonts w:ascii="Times" w:hAnsi="Times"/>
          <w:bCs/>
          <w:color w:val="000000" w:themeColor="text1"/>
          <w:lang w:val="en-US"/>
        </w:rPr>
        <w:t xml:space="preserve">Hayley </w:t>
      </w:r>
      <w:proofErr w:type="spellStart"/>
      <w:proofErr w:type="gramStart"/>
      <w:r w:rsidRPr="001D3E64">
        <w:rPr>
          <w:rFonts w:ascii="Times" w:hAnsi="Times"/>
          <w:bCs/>
          <w:color w:val="000000" w:themeColor="text1"/>
          <w:lang w:val="en-US"/>
        </w:rPr>
        <w:t>Rice</w:t>
      </w:r>
      <w:r w:rsidRPr="001D3E64">
        <w:rPr>
          <w:rFonts w:ascii="Times" w:hAnsi="Times"/>
          <w:bCs/>
          <w:color w:val="000000" w:themeColor="text1"/>
          <w:vertAlign w:val="superscript"/>
          <w:lang w:val="en-US"/>
        </w:rPr>
        <w:t>a,b</w:t>
      </w:r>
      <w:proofErr w:type="spellEnd"/>
      <w:proofErr w:type="gramEnd"/>
      <w:r w:rsidRPr="001D3E64">
        <w:rPr>
          <w:rFonts w:ascii="Times" w:hAnsi="Times"/>
          <w:bCs/>
          <w:color w:val="000000" w:themeColor="text1"/>
          <w:lang w:val="en-US"/>
        </w:rPr>
        <w:t xml:space="preserve"> (PT), Kylie </w:t>
      </w:r>
      <w:proofErr w:type="spellStart"/>
      <w:r w:rsidRPr="001D3E64">
        <w:rPr>
          <w:rFonts w:ascii="Times" w:hAnsi="Times"/>
          <w:bCs/>
          <w:color w:val="000000" w:themeColor="text1"/>
          <w:lang w:val="en-US"/>
        </w:rPr>
        <w:t>Hill</w:t>
      </w:r>
      <w:r w:rsidRPr="001D3E64">
        <w:rPr>
          <w:rFonts w:ascii="Times" w:hAnsi="Times"/>
          <w:bCs/>
          <w:color w:val="000000" w:themeColor="text1"/>
          <w:vertAlign w:val="superscript"/>
          <w:lang w:val="en-US"/>
        </w:rPr>
        <w:t>a,b,c</w:t>
      </w:r>
      <w:proofErr w:type="spellEnd"/>
      <w:r w:rsidRPr="001D3E64">
        <w:rPr>
          <w:rFonts w:ascii="Times" w:hAnsi="Times"/>
          <w:bCs/>
          <w:color w:val="000000" w:themeColor="text1"/>
          <w:lang w:val="en-US"/>
        </w:rPr>
        <w:t xml:space="preserve"> (PT, PhD), Robin </w:t>
      </w:r>
      <w:proofErr w:type="spellStart"/>
      <w:r w:rsidRPr="001D3E64">
        <w:rPr>
          <w:rFonts w:ascii="Times" w:hAnsi="Times"/>
          <w:bCs/>
          <w:color w:val="000000" w:themeColor="text1"/>
          <w:lang w:val="en-US"/>
        </w:rPr>
        <w:t>Fowler</w:t>
      </w:r>
      <w:r w:rsidRPr="001D3E64">
        <w:rPr>
          <w:rFonts w:ascii="Times" w:hAnsi="Times"/>
          <w:bCs/>
          <w:color w:val="000000" w:themeColor="text1"/>
          <w:vertAlign w:val="superscript"/>
          <w:lang w:val="en-US"/>
        </w:rPr>
        <w:t>a,b</w:t>
      </w:r>
      <w:proofErr w:type="spellEnd"/>
      <w:r w:rsidRPr="001D3E64">
        <w:rPr>
          <w:rFonts w:ascii="Times" w:hAnsi="Times"/>
          <w:bCs/>
          <w:color w:val="000000" w:themeColor="text1"/>
          <w:lang w:val="en-US"/>
        </w:rPr>
        <w:t xml:space="preserve"> (PT, PhD), Carol </w:t>
      </w:r>
      <w:proofErr w:type="spellStart"/>
      <w:r w:rsidRPr="001D3E64">
        <w:rPr>
          <w:rFonts w:ascii="Times" w:hAnsi="Times"/>
          <w:bCs/>
          <w:color w:val="000000" w:themeColor="text1"/>
          <w:lang w:val="en-US"/>
        </w:rPr>
        <w:t>Watson</w:t>
      </w:r>
      <w:r w:rsidRPr="001D3E64">
        <w:rPr>
          <w:rFonts w:ascii="Times" w:hAnsi="Times"/>
          <w:bCs/>
          <w:color w:val="000000" w:themeColor="text1"/>
          <w:vertAlign w:val="superscript"/>
          <w:lang w:val="en-US"/>
        </w:rPr>
        <w:t>a,b</w:t>
      </w:r>
      <w:proofErr w:type="spellEnd"/>
      <w:r w:rsidRPr="001D3E64">
        <w:rPr>
          <w:rFonts w:ascii="Times" w:hAnsi="Times"/>
          <w:bCs/>
          <w:color w:val="000000" w:themeColor="text1"/>
          <w:lang w:val="en-US"/>
        </w:rPr>
        <w:t xml:space="preserve"> (PT, MBA), Grant </w:t>
      </w:r>
      <w:proofErr w:type="spellStart"/>
      <w:r w:rsidRPr="001D3E64">
        <w:rPr>
          <w:rFonts w:ascii="Times" w:hAnsi="Times"/>
          <w:bCs/>
          <w:color w:val="000000" w:themeColor="text1"/>
          <w:lang w:val="en-US"/>
        </w:rPr>
        <w:t>Waterer</w:t>
      </w:r>
      <w:r w:rsidRPr="001D3E64">
        <w:rPr>
          <w:rFonts w:ascii="Times" w:hAnsi="Times"/>
          <w:bCs/>
          <w:color w:val="000000" w:themeColor="text1"/>
          <w:vertAlign w:val="superscript"/>
          <w:lang w:val="en-US"/>
        </w:rPr>
        <w:t>d,e</w:t>
      </w:r>
      <w:proofErr w:type="spellEnd"/>
      <w:r w:rsidRPr="001D3E64">
        <w:rPr>
          <w:rFonts w:ascii="Times" w:hAnsi="Times"/>
          <w:bCs/>
          <w:color w:val="000000" w:themeColor="text1"/>
          <w:lang w:val="en-US"/>
        </w:rPr>
        <w:t xml:space="preserve"> (MD, PhD, FRACP, FCCP) and Megan </w:t>
      </w:r>
      <w:proofErr w:type="spellStart"/>
      <w:r w:rsidRPr="001D3E64">
        <w:rPr>
          <w:rFonts w:ascii="Times" w:hAnsi="Times"/>
          <w:bCs/>
          <w:color w:val="000000" w:themeColor="text1"/>
          <w:lang w:val="en-US"/>
        </w:rPr>
        <w:t>Harrold</w:t>
      </w:r>
      <w:r w:rsidRPr="001D3E64">
        <w:rPr>
          <w:rFonts w:ascii="Times" w:hAnsi="Times"/>
          <w:bCs/>
          <w:color w:val="000000" w:themeColor="text1"/>
          <w:vertAlign w:val="superscript"/>
          <w:lang w:val="en-US"/>
        </w:rPr>
        <w:t>a</w:t>
      </w:r>
      <w:proofErr w:type="spellEnd"/>
      <w:r w:rsidRPr="001D3E64">
        <w:rPr>
          <w:rFonts w:ascii="Times" w:hAnsi="Times"/>
          <w:bCs/>
          <w:color w:val="000000" w:themeColor="text1"/>
          <w:lang w:val="en-US"/>
        </w:rPr>
        <w:t xml:space="preserve"> (PT, PhD). </w:t>
      </w:r>
    </w:p>
    <w:p w14:paraId="0E7E51B0" w14:textId="77777777" w:rsidR="00DA225A" w:rsidRPr="001D3E64" w:rsidRDefault="00DA225A" w:rsidP="00DA2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480" w:lineRule="auto"/>
        <w:rPr>
          <w:rFonts w:ascii="Times" w:hAnsi="Times"/>
          <w:bCs/>
          <w:color w:val="000000" w:themeColor="text1"/>
          <w:lang w:val="en-US"/>
        </w:rPr>
      </w:pPr>
      <w:r w:rsidRPr="001D3E64">
        <w:rPr>
          <w:rFonts w:ascii="Times" w:hAnsi="Times"/>
          <w:bCs/>
          <w:color w:val="000000" w:themeColor="text1"/>
          <w:lang w:val="en-US"/>
        </w:rPr>
        <w:t>School of Physiotherapy and Exercise Science, Faculty of Health Science, Curtin University, Perth, WA</w:t>
      </w:r>
    </w:p>
    <w:p w14:paraId="1F107840" w14:textId="77777777" w:rsidR="00DA225A" w:rsidRPr="001D3E64" w:rsidRDefault="00DA225A" w:rsidP="00DA2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480" w:lineRule="auto"/>
        <w:rPr>
          <w:rFonts w:ascii="Times" w:hAnsi="Times"/>
          <w:bCs/>
          <w:color w:val="000000" w:themeColor="text1"/>
          <w:lang w:val="en-US"/>
        </w:rPr>
      </w:pPr>
      <w:r w:rsidRPr="001D3E64">
        <w:rPr>
          <w:rFonts w:ascii="Times" w:hAnsi="Times"/>
          <w:bCs/>
          <w:iCs/>
          <w:color w:val="000000" w:themeColor="text1"/>
          <w:lang w:val="en-AU"/>
        </w:rPr>
        <w:t xml:space="preserve">Department of Physiotherapy, Royal Perth Hospital, Western Australia </w:t>
      </w:r>
    </w:p>
    <w:p w14:paraId="55E1E246" w14:textId="77777777" w:rsidR="00DA225A" w:rsidRPr="001D3E64" w:rsidRDefault="00DA225A" w:rsidP="00DA2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480" w:lineRule="auto"/>
        <w:rPr>
          <w:rFonts w:ascii="Times" w:hAnsi="Times"/>
          <w:bCs/>
          <w:color w:val="000000" w:themeColor="text1"/>
          <w:lang w:val="en-US"/>
        </w:rPr>
      </w:pPr>
      <w:r w:rsidRPr="001D3E64">
        <w:rPr>
          <w:rFonts w:ascii="Times" w:hAnsi="Times"/>
          <w:bCs/>
          <w:iCs/>
          <w:color w:val="000000" w:themeColor="text1"/>
          <w:lang w:val="en-AU"/>
        </w:rPr>
        <w:t xml:space="preserve">Institute for Respiratory Health, Sir Charles Gairdner Hospital, Western Australia </w:t>
      </w:r>
    </w:p>
    <w:p w14:paraId="55B28C04" w14:textId="77777777" w:rsidR="00DA225A" w:rsidRPr="001D3E64" w:rsidRDefault="00DA225A" w:rsidP="00DA2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480" w:lineRule="auto"/>
        <w:rPr>
          <w:rFonts w:ascii="Times" w:hAnsi="Times"/>
          <w:bCs/>
          <w:color w:val="000000" w:themeColor="text1"/>
          <w:lang w:val="en-US"/>
        </w:rPr>
      </w:pPr>
      <w:r w:rsidRPr="001D3E64">
        <w:rPr>
          <w:rFonts w:ascii="Times" w:hAnsi="Times"/>
          <w:bCs/>
          <w:iCs/>
          <w:color w:val="000000" w:themeColor="text1"/>
          <w:lang w:val="en-AU"/>
        </w:rPr>
        <w:t xml:space="preserve">Respiratory Medicine, Royal Perth Hospital, Western Australia </w:t>
      </w:r>
    </w:p>
    <w:p w14:paraId="3DB26792" w14:textId="77777777" w:rsidR="00DA225A" w:rsidRPr="001D3E64" w:rsidRDefault="00DA225A" w:rsidP="00DA22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480" w:lineRule="auto"/>
        <w:rPr>
          <w:rFonts w:ascii="Times" w:hAnsi="Times"/>
          <w:bCs/>
          <w:color w:val="000000" w:themeColor="text1"/>
          <w:lang w:val="en-AU"/>
        </w:rPr>
      </w:pPr>
      <w:r w:rsidRPr="001D3E64">
        <w:rPr>
          <w:rFonts w:ascii="Times" w:hAnsi="Times"/>
          <w:bCs/>
          <w:iCs/>
          <w:color w:val="000000" w:themeColor="text1"/>
          <w:lang w:val="en-AU"/>
        </w:rPr>
        <w:t xml:space="preserve">The University of Western Australia, Western Australia, Australia </w:t>
      </w:r>
    </w:p>
    <w:p w14:paraId="003C1805" w14:textId="77777777" w:rsidR="00DA225A" w:rsidRPr="001D3E64" w:rsidRDefault="00DA225A" w:rsidP="00DA225A">
      <w:pPr>
        <w:widowControl w:val="0"/>
        <w:autoSpaceDE w:val="0"/>
        <w:autoSpaceDN w:val="0"/>
        <w:adjustRightInd w:val="0"/>
        <w:spacing w:after="160" w:line="480" w:lineRule="auto"/>
        <w:rPr>
          <w:rFonts w:ascii="Times" w:hAnsi="Times" w:cs="Arial"/>
          <w:bCs/>
          <w:color w:val="000000" w:themeColor="text1"/>
          <w:lang w:val="en-US"/>
        </w:rPr>
      </w:pPr>
      <w:r w:rsidRPr="001D3E64">
        <w:rPr>
          <w:rFonts w:ascii="Times" w:hAnsi="Times" w:cs="Arial"/>
          <w:b/>
          <w:bCs/>
          <w:color w:val="000000" w:themeColor="text1"/>
          <w:lang w:val="en-US"/>
        </w:rPr>
        <w:t xml:space="preserve">Author contributions: </w:t>
      </w:r>
    </w:p>
    <w:p w14:paraId="1C723257" w14:textId="77777777" w:rsidR="00DA225A" w:rsidRPr="001D3E64" w:rsidRDefault="00DA225A" w:rsidP="00DA225A">
      <w:pPr>
        <w:widowControl w:val="0"/>
        <w:autoSpaceDE w:val="0"/>
        <w:autoSpaceDN w:val="0"/>
        <w:adjustRightInd w:val="0"/>
        <w:spacing w:after="160" w:line="480" w:lineRule="auto"/>
        <w:rPr>
          <w:rFonts w:ascii="Times" w:hAnsi="Times" w:cs="Arial"/>
          <w:bCs/>
          <w:color w:val="000000" w:themeColor="text1"/>
          <w:lang w:val="en-US"/>
        </w:rPr>
      </w:pPr>
      <w:r w:rsidRPr="001D3E64">
        <w:rPr>
          <w:rFonts w:ascii="Times" w:hAnsi="Times" w:cs="Arial"/>
          <w:bCs/>
          <w:color w:val="000000" w:themeColor="text1"/>
          <w:lang w:val="en-US"/>
        </w:rPr>
        <w:t>Hayley Rice: Study conception and design, data acquisition, data analysis, manuscript drafting, critical manuscript revision and final manuscript approval.</w:t>
      </w:r>
    </w:p>
    <w:p w14:paraId="6401E1C3" w14:textId="77777777" w:rsidR="00DA225A" w:rsidRPr="001D3E64" w:rsidRDefault="00DA225A" w:rsidP="00DA225A">
      <w:pPr>
        <w:widowControl w:val="0"/>
        <w:autoSpaceDE w:val="0"/>
        <w:autoSpaceDN w:val="0"/>
        <w:adjustRightInd w:val="0"/>
        <w:spacing w:after="160" w:line="480" w:lineRule="auto"/>
        <w:rPr>
          <w:rFonts w:ascii="Times" w:hAnsi="Times" w:cs="Arial"/>
          <w:bCs/>
          <w:color w:val="000000" w:themeColor="text1"/>
          <w:lang w:val="en-US"/>
        </w:rPr>
      </w:pPr>
      <w:r w:rsidRPr="001D3E64">
        <w:rPr>
          <w:rFonts w:ascii="Times" w:hAnsi="Times" w:cs="Arial"/>
          <w:bCs/>
          <w:color w:val="000000" w:themeColor="text1"/>
          <w:lang w:val="en-US"/>
        </w:rPr>
        <w:t>Kylie Hill: Study conception and design, data analysis, manuscript drafting, critical manuscript revision and final manuscript approval.</w:t>
      </w:r>
    </w:p>
    <w:p w14:paraId="373ED9DF" w14:textId="77777777" w:rsidR="00DA225A" w:rsidRPr="001D3E64" w:rsidRDefault="00DA225A" w:rsidP="00DA225A">
      <w:pPr>
        <w:widowControl w:val="0"/>
        <w:autoSpaceDE w:val="0"/>
        <w:autoSpaceDN w:val="0"/>
        <w:adjustRightInd w:val="0"/>
        <w:spacing w:after="160" w:line="480" w:lineRule="auto"/>
        <w:rPr>
          <w:rFonts w:ascii="Times" w:hAnsi="Times" w:cs="Arial"/>
          <w:bCs/>
          <w:color w:val="000000" w:themeColor="text1"/>
          <w:lang w:val="en-US"/>
        </w:rPr>
      </w:pPr>
      <w:r w:rsidRPr="001D3E64">
        <w:rPr>
          <w:rFonts w:ascii="Times" w:hAnsi="Times" w:cs="Arial"/>
          <w:bCs/>
          <w:color w:val="000000" w:themeColor="text1"/>
          <w:lang w:val="en-US"/>
        </w:rPr>
        <w:t>Robin Fowler: Study conception and design, data acquisition, critical manuscript revision and final manuscript approval.</w:t>
      </w:r>
    </w:p>
    <w:p w14:paraId="0139064C" w14:textId="77777777" w:rsidR="00DA225A" w:rsidRPr="001D3E64" w:rsidRDefault="00DA225A" w:rsidP="00DA225A">
      <w:pPr>
        <w:widowControl w:val="0"/>
        <w:autoSpaceDE w:val="0"/>
        <w:autoSpaceDN w:val="0"/>
        <w:adjustRightInd w:val="0"/>
        <w:spacing w:after="160" w:line="480" w:lineRule="auto"/>
        <w:rPr>
          <w:rFonts w:ascii="Times" w:hAnsi="Times" w:cs="Arial"/>
          <w:bCs/>
          <w:color w:val="000000" w:themeColor="text1"/>
          <w:lang w:val="en-US"/>
        </w:rPr>
      </w:pPr>
      <w:r w:rsidRPr="001D3E64">
        <w:rPr>
          <w:rFonts w:ascii="Times" w:hAnsi="Times" w:cs="Arial"/>
          <w:bCs/>
          <w:color w:val="000000" w:themeColor="text1"/>
          <w:lang w:val="en-US"/>
        </w:rPr>
        <w:t>Carol Watson: Study conception, critical manuscript revision and final manuscript approval.</w:t>
      </w:r>
    </w:p>
    <w:p w14:paraId="03B353A0" w14:textId="77777777" w:rsidR="00DA225A" w:rsidRPr="001D3E64" w:rsidRDefault="00DA225A" w:rsidP="00DA225A">
      <w:pPr>
        <w:widowControl w:val="0"/>
        <w:autoSpaceDE w:val="0"/>
        <w:autoSpaceDN w:val="0"/>
        <w:adjustRightInd w:val="0"/>
        <w:spacing w:after="160" w:line="480" w:lineRule="auto"/>
        <w:rPr>
          <w:rFonts w:ascii="Times" w:hAnsi="Times" w:cs="Arial"/>
          <w:bCs/>
          <w:color w:val="000000" w:themeColor="text1"/>
          <w:lang w:val="en-US"/>
        </w:rPr>
      </w:pPr>
      <w:r w:rsidRPr="001D3E64">
        <w:rPr>
          <w:rFonts w:ascii="Times" w:hAnsi="Times" w:cs="Arial"/>
          <w:bCs/>
          <w:color w:val="000000" w:themeColor="text1"/>
          <w:lang w:val="en-US"/>
        </w:rPr>
        <w:t>Grant Waterer: Study conception, critical manuscript revision and final manuscript approval.</w:t>
      </w:r>
    </w:p>
    <w:p w14:paraId="119BD594" w14:textId="77777777" w:rsidR="00DA225A" w:rsidRPr="001D3E64" w:rsidRDefault="00DA225A" w:rsidP="00DA225A">
      <w:pPr>
        <w:widowControl w:val="0"/>
        <w:autoSpaceDE w:val="0"/>
        <w:autoSpaceDN w:val="0"/>
        <w:adjustRightInd w:val="0"/>
        <w:spacing w:after="160" w:line="480" w:lineRule="auto"/>
        <w:rPr>
          <w:rFonts w:ascii="Times" w:hAnsi="Times" w:cs="Arial"/>
          <w:bCs/>
          <w:color w:val="000000" w:themeColor="text1"/>
          <w:lang w:val="en-US"/>
        </w:rPr>
      </w:pPr>
      <w:r w:rsidRPr="001D3E64">
        <w:rPr>
          <w:rFonts w:ascii="Times" w:hAnsi="Times" w:cs="Arial"/>
          <w:bCs/>
          <w:color w:val="000000" w:themeColor="text1"/>
          <w:lang w:val="en-US"/>
        </w:rPr>
        <w:t>Megan Harrold: Study conception, critical manuscript revision and final manuscript approval.</w:t>
      </w:r>
    </w:p>
    <w:p w14:paraId="225D536F" w14:textId="77777777" w:rsidR="00DA225A" w:rsidRPr="001D3E64" w:rsidRDefault="00DA225A" w:rsidP="00DA225A">
      <w:pPr>
        <w:widowControl w:val="0"/>
        <w:autoSpaceDE w:val="0"/>
        <w:autoSpaceDN w:val="0"/>
        <w:adjustRightInd w:val="0"/>
        <w:spacing w:after="160" w:line="480" w:lineRule="auto"/>
        <w:rPr>
          <w:rFonts w:ascii="Times" w:hAnsi="Times" w:cs="Arial"/>
          <w:bCs/>
          <w:color w:val="000000" w:themeColor="text1"/>
          <w:lang w:val="en-US"/>
        </w:rPr>
      </w:pPr>
      <w:r w:rsidRPr="001D3E64">
        <w:rPr>
          <w:rFonts w:ascii="Times" w:hAnsi="Times" w:cs="Arial"/>
          <w:b/>
          <w:bCs/>
          <w:color w:val="000000" w:themeColor="text1"/>
          <w:lang w:val="en-US"/>
        </w:rPr>
        <w:lastRenderedPageBreak/>
        <w:t>Institution:</w:t>
      </w:r>
      <w:r w:rsidRPr="001D3E64">
        <w:rPr>
          <w:rFonts w:ascii="Times" w:hAnsi="Times" w:cs="Arial"/>
          <w:bCs/>
          <w:color w:val="000000" w:themeColor="text1"/>
          <w:lang w:val="en-US"/>
        </w:rPr>
        <w:t xml:space="preserve"> This study was performed at Royal Perth Hospital, Perth, Western Australia. </w:t>
      </w:r>
    </w:p>
    <w:p w14:paraId="71569A86" w14:textId="77777777" w:rsidR="00DA225A" w:rsidRPr="001D3E64" w:rsidRDefault="00DA225A" w:rsidP="00DA225A">
      <w:pPr>
        <w:widowControl w:val="0"/>
        <w:autoSpaceDE w:val="0"/>
        <w:autoSpaceDN w:val="0"/>
        <w:adjustRightInd w:val="0"/>
        <w:spacing w:after="160" w:line="480" w:lineRule="auto"/>
        <w:rPr>
          <w:rFonts w:ascii="Times" w:hAnsi="Times" w:cs="Arial"/>
          <w:bCs/>
          <w:color w:val="000000" w:themeColor="text1"/>
          <w:lang w:val="en-US"/>
        </w:rPr>
      </w:pPr>
      <w:r w:rsidRPr="001D3E64">
        <w:rPr>
          <w:rFonts w:ascii="Times" w:hAnsi="Times" w:cs="Arial"/>
          <w:b/>
          <w:bCs/>
          <w:color w:val="000000" w:themeColor="text1"/>
          <w:lang w:val="en-US"/>
        </w:rPr>
        <w:t>Sources of financial support:</w:t>
      </w:r>
      <w:r w:rsidRPr="001D3E64">
        <w:rPr>
          <w:rFonts w:ascii="Times" w:hAnsi="Times" w:cs="Arial"/>
          <w:bCs/>
          <w:color w:val="000000" w:themeColor="text1"/>
          <w:lang w:val="en-US"/>
        </w:rPr>
        <w:t xml:space="preserve"> Nil.</w:t>
      </w:r>
    </w:p>
    <w:p w14:paraId="22730ADB" w14:textId="77777777" w:rsidR="00DA225A" w:rsidRPr="001D3E64" w:rsidRDefault="00DA225A" w:rsidP="00DA225A">
      <w:pPr>
        <w:widowControl w:val="0"/>
        <w:autoSpaceDE w:val="0"/>
        <w:autoSpaceDN w:val="0"/>
        <w:adjustRightInd w:val="0"/>
        <w:spacing w:after="160" w:line="480" w:lineRule="auto"/>
        <w:rPr>
          <w:rFonts w:ascii="Times" w:hAnsi="Times" w:cs="Arial"/>
          <w:bCs/>
          <w:color w:val="000000" w:themeColor="text1"/>
          <w:lang w:val="en-US"/>
        </w:rPr>
      </w:pPr>
      <w:r w:rsidRPr="001D3E64">
        <w:rPr>
          <w:rFonts w:ascii="Times" w:hAnsi="Times" w:cs="Arial"/>
          <w:b/>
          <w:bCs/>
          <w:color w:val="000000" w:themeColor="text1"/>
          <w:lang w:val="en-US"/>
        </w:rPr>
        <w:t>Conflicts of interest:</w:t>
      </w:r>
      <w:r w:rsidRPr="001D3E64">
        <w:rPr>
          <w:rFonts w:ascii="Times" w:hAnsi="Times" w:cs="Arial"/>
          <w:bCs/>
          <w:color w:val="000000" w:themeColor="text1"/>
          <w:lang w:val="en-US"/>
        </w:rPr>
        <w:t xml:space="preserve"> There are no conflicts of interest to declare.</w:t>
      </w:r>
    </w:p>
    <w:p w14:paraId="327436EC" w14:textId="77777777" w:rsidR="00DA225A" w:rsidRPr="001D3E64" w:rsidRDefault="00DA225A" w:rsidP="00DA225A">
      <w:pPr>
        <w:widowControl w:val="0"/>
        <w:autoSpaceDE w:val="0"/>
        <w:autoSpaceDN w:val="0"/>
        <w:adjustRightInd w:val="0"/>
        <w:spacing w:after="160" w:line="480" w:lineRule="auto"/>
        <w:rPr>
          <w:rFonts w:ascii="Times" w:hAnsi="Times" w:cs="Arial"/>
          <w:bCs/>
          <w:color w:val="000000" w:themeColor="text1"/>
          <w:lang w:val="en-AU"/>
        </w:rPr>
      </w:pPr>
      <w:r w:rsidRPr="001D3E64">
        <w:rPr>
          <w:rFonts w:ascii="Times" w:hAnsi="Times" w:cs="Arial"/>
          <w:b/>
          <w:bCs/>
          <w:color w:val="000000" w:themeColor="text1"/>
          <w:lang w:val="en-AU"/>
        </w:rPr>
        <w:t xml:space="preserve">Corresponding author: </w:t>
      </w:r>
      <w:r w:rsidRPr="001D3E64">
        <w:rPr>
          <w:rFonts w:ascii="Times" w:hAnsi="Times" w:cs="Arial"/>
          <w:bCs/>
          <w:color w:val="000000" w:themeColor="text1"/>
          <w:lang w:val="en-AU"/>
        </w:rPr>
        <w:t xml:space="preserve">Kylie Hill. Email: </w:t>
      </w:r>
      <w:hyperlink r:id="rId7" w:history="1">
        <w:r w:rsidRPr="001D3E64">
          <w:rPr>
            <w:rStyle w:val="Hyperlink"/>
            <w:rFonts w:ascii="Times" w:hAnsi="Times" w:cs="Arial"/>
            <w:bCs/>
            <w:color w:val="000000" w:themeColor="text1"/>
            <w:lang w:val="en-AU"/>
          </w:rPr>
          <w:t>K.Hill@curtin.edu.au</w:t>
        </w:r>
      </w:hyperlink>
      <w:r w:rsidRPr="001D3E64">
        <w:rPr>
          <w:rFonts w:ascii="Times" w:hAnsi="Times" w:cs="Arial"/>
          <w:bCs/>
          <w:color w:val="000000" w:themeColor="text1"/>
          <w:lang w:val="en-AU"/>
        </w:rPr>
        <w:t xml:space="preserve"> </w:t>
      </w:r>
    </w:p>
    <w:p w14:paraId="2F6BBA87" w14:textId="77777777" w:rsidR="00DA225A" w:rsidRPr="001D3E64" w:rsidRDefault="00DA225A" w:rsidP="00DA225A">
      <w:pPr>
        <w:widowControl w:val="0"/>
        <w:autoSpaceDE w:val="0"/>
        <w:autoSpaceDN w:val="0"/>
        <w:adjustRightInd w:val="0"/>
        <w:spacing w:after="160" w:line="480" w:lineRule="auto"/>
        <w:rPr>
          <w:rFonts w:ascii="Times" w:hAnsi="Times" w:cs="Arial"/>
          <w:bCs/>
          <w:color w:val="000000" w:themeColor="text1"/>
          <w:lang w:val="en-US"/>
        </w:rPr>
      </w:pPr>
      <w:r w:rsidRPr="001D3E64">
        <w:rPr>
          <w:rFonts w:ascii="Times" w:hAnsi="Times"/>
          <w:b/>
          <w:color w:val="000000" w:themeColor="text1"/>
        </w:rPr>
        <w:t xml:space="preserve">Present address: </w:t>
      </w:r>
      <w:r w:rsidRPr="001D3E64">
        <w:rPr>
          <w:rFonts w:ascii="Times" w:hAnsi="Times"/>
          <w:color w:val="000000" w:themeColor="text1"/>
        </w:rPr>
        <w:t xml:space="preserve"> </w:t>
      </w:r>
      <w:r w:rsidRPr="001D3E64">
        <w:rPr>
          <w:rFonts w:ascii="Times" w:hAnsi="Times" w:cs="Arial"/>
          <w:bCs/>
          <w:color w:val="000000" w:themeColor="text1"/>
          <w:lang w:val="en-US"/>
        </w:rPr>
        <w:t>School of Physiotherapy and Exercise Science, Faculty of Health Science, Curtin University, Perth, WA.</w:t>
      </w:r>
    </w:p>
    <w:p w14:paraId="6588FDB9" w14:textId="77777777" w:rsidR="000C2167" w:rsidRPr="001D3E64" w:rsidRDefault="000C2167" w:rsidP="00C64B92">
      <w:pPr>
        <w:widowControl w:val="0"/>
        <w:autoSpaceDE w:val="0"/>
        <w:autoSpaceDN w:val="0"/>
        <w:adjustRightInd w:val="0"/>
        <w:spacing w:after="160" w:line="480" w:lineRule="auto"/>
        <w:rPr>
          <w:rFonts w:ascii="Times" w:hAnsi="Times" w:cs="Arial"/>
          <w:bCs/>
          <w:lang w:val="en-US"/>
        </w:rPr>
        <w:sectPr w:rsidR="000C2167" w:rsidRPr="001D3E64" w:rsidSect="00C84F3F">
          <w:footerReference w:type="even" r:id="rId8"/>
          <w:footerReference w:type="default" r:id="rId9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2683181" w14:textId="3CB8163F" w:rsidR="000C2167" w:rsidRPr="001D3E64" w:rsidRDefault="000C2167" w:rsidP="00C64B92">
      <w:pPr>
        <w:spacing w:before="100" w:beforeAutospacing="1" w:after="100" w:afterAutospacing="1" w:line="480" w:lineRule="auto"/>
        <w:rPr>
          <w:rFonts w:ascii="Times" w:eastAsia="Times New Roman" w:hAnsi="Times" w:cs="Times New Roman"/>
          <w:b/>
          <w:bCs/>
          <w:color w:val="211E1E"/>
          <w:lang w:val="en-AU"/>
        </w:rPr>
      </w:pPr>
      <w:r w:rsidRPr="001D3E64">
        <w:rPr>
          <w:rFonts w:ascii="Times" w:eastAsia="Times New Roman" w:hAnsi="Times" w:cs="Times New Roman"/>
          <w:b/>
          <w:bCs/>
          <w:color w:val="211E1E"/>
          <w:lang w:val="en-AU"/>
        </w:rPr>
        <w:lastRenderedPageBreak/>
        <w:t>S1. CURB-65 Score for Community-Acquired Pneumonia.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1276"/>
      </w:tblGrid>
      <w:tr w:rsidR="000C2167" w:rsidRPr="001D3E64" w14:paraId="5B7FAC0C" w14:textId="77777777" w:rsidTr="00D95215">
        <w:tc>
          <w:tcPr>
            <w:tcW w:w="4531" w:type="dxa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623FE273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b/>
                <w:bCs/>
                <w:color w:val="211E1E"/>
                <w:lang w:val="en-AU"/>
              </w:rPr>
              <w:t xml:space="preserve">Clinical factor </w:t>
            </w:r>
          </w:p>
        </w:tc>
        <w:tc>
          <w:tcPr>
            <w:tcW w:w="1276" w:type="dxa"/>
            <w:tcBorders>
              <w:top w:val="single" w:sz="4" w:space="0" w:color="211C1E"/>
              <w:left w:val="single" w:sz="4" w:space="0" w:color="211E1E"/>
              <w:bottom w:val="single" w:sz="4" w:space="0" w:color="211C1E"/>
              <w:right w:val="single" w:sz="4" w:space="0" w:color="211E1E"/>
            </w:tcBorders>
            <w:vAlign w:val="center"/>
            <w:hideMark/>
          </w:tcPr>
          <w:p w14:paraId="47DF45A5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b/>
                <w:bCs/>
                <w:color w:val="211E1E"/>
                <w:lang w:val="en-AU"/>
              </w:rPr>
              <w:t xml:space="preserve">Points </w:t>
            </w:r>
          </w:p>
        </w:tc>
      </w:tr>
      <w:tr w:rsidR="000C2167" w:rsidRPr="001D3E64" w14:paraId="492A172D" w14:textId="77777777" w:rsidTr="00D95215">
        <w:tc>
          <w:tcPr>
            <w:tcW w:w="4531" w:type="dxa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4BF831C8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Confusion </w:t>
            </w:r>
          </w:p>
        </w:tc>
        <w:tc>
          <w:tcPr>
            <w:tcW w:w="1276" w:type="dxa"/>
            <w:tcBorders>
              <w:top w:val="single" w:sz="4" w:space="0" w:color="211C1E"/>
              <w:left w:val="single" w:sz="4" w:space="0" w:color="211E1E"/>
              <w:bottom w:val="single" w:sz="4" w:space="0" w:color="211C1E"/>
              <w:right w:val="single" w:sz="4" w:space="0" w:color="211E1E"/>
            </w:tcBorders>
            <w:vAlign w:val="center"/>
            <w:hideMark/>
          </w:tcPr>
          <w:p w14:paraId="0B9AB54E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1 </w:t>
            </w:r>
          </w:p>
        </w:tc>
      </w:tr>
      <w:tr w:rsidR="000C2167" w:rsidRPr="001D3E64" w14:paraId="6FF16ED5" w14:textId="77777777" w:rsidTr="00D95215">
        <w:tc>
          <w:tcPr>
            <w:tcW w:w="4531" w:type="dxa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6EC7E8C5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Blood urea nitrogen &gt; 19 mg per </w:t>
            </w:r>
            <w:proofErr w:type="spellStart"/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>dL</w:t>
            </w:r>
            <w:proofErr w:type="spellEnd"/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211C1E"/>
              <w:left w:val="single" w:sz="4" w:space="0" w:color="211E1E"/>
              <w:bottom w:val="single" w:sz="4" w:space="0" w:color="211C1E"/>
              <w:right w:val="single" w:sz="4" w:space="0" w:color="211E1E"/>
            </w:tcBorders>
            <w:vAlign w:val="center"/>
            <w:hideMark/>
          </w:tcPr>
          <w:p w14:paraId="0639BC17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1 </w:t>
            </w:r>
          </w:p>
        </w:tc>
      </w:tr>
      <w:tr w:rsidR="000C2167" w:rsidRPr="001D3E64" w14:paraId="717B1463" w14:textId="77777777" w:rsidTr="00D95215">
        <w:tc>
          <w:tcPr>
            <w:tcW w:w="4531" w:type="dxa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1C35CF3A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Respiratory rate ≥ 30 breaths per minute </w:t>
            </w:r>
          </w:p>
        </w:tc>
        <w:tc>
          <w:tcPr>
            <w:tcW w:w="1276" w:type="dxa"/>
            <w:tcBorders>
              <w:top w:val="single" w:sz="4" w:space="0" w:color="211C1E"/>
              <w:left w:val="single" w:sz="4" w:space="0" w:color="211E1E"/>
              <w:bottom w:val="single" w:sz="4" w:space="0" w:color="211C1E"/>
              <w:right w:val="single" w:sz="4" w:space="0" w:color="211E1E"/>
            </w:tcBorders>
            <w:vAlign w:val="center"/>
            <w:hideMark/>
          </w:tcPr>
          <w:p w14:paraId="575BA2A2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1 </w:t>
            </w:r>
          </w:p>
        </w:tc>
      </w:tr>
      <w:tr w:rsidR="000C2167" w:rsidRPr="001D3E64" w14:paraId="56FF29A8" w14:textId="77777777" w:rsidTr="00D95215">
        <w:tc>
          <w:tcPr>
            <w:tcW w:w="4531" w:type="dxa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19CA1D9E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Systolic blood pressure &lt; 90 mm Hg or </w:t>
            </w:r>
          </w:p>
          <w:p w14:paraId="79DEEF6A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Diastolic blood pressure ≤ 60 mm Hg </w:t>
            </w:r>
          </w:p>
        </w:tc>
        <w:tc>
          <w:tcPr>
            <w:tcW w:w="1276" w:type="dxa"/>
            <w:tcBorders>
              <w:top w:val="single" w:sz="4" w:space="0" w:color="211C1E"/>
              <w:left w:val="single" w:sz="4" w:space="0" w:color="211E1E"/>
              <w:bottom w:val="single" w:sz="4" w:space="0" w:color="211C1E"/>
              <w:right w:val="single" w:sz="4" w:space="0" w:color="211E1E"/>
            </w:tcBorders>
            <w:vAlign w:val="center"/>
            <w:hideMark/>
          </w:tcPr>
          <w:p w14:paraId="7893BE79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1 </w:t>
            </w:r>
          </w:p>
        </w:tc>
      </w:tr>
      <w:tr w:rsidR="000C2167" w:rsidRPr="001D3E64" w14:paraId="1690BA5A" w14:textId="77777777" w:rsidTr="00D95215">
        <w:tc>
          <w:tcPr>
            <w:tcW w:w="4531" w:type="dxa"/>
            <w:tcBorders>
              <w:top w:val="single" w:sz="4" w:space="0" w:color="211E1E"/>
              <w:left w:val="single" w:sz="4" w:space="0" w:color="211C1E"/>
              <w:bottom w:val="single" w:sz="18" w:space="0" w:color="1C1C1C"/>
              <w:right w:val="single" w:sz="4" w:space="0" w:color="211C1E"/>
            </w:tcBorders>
            <w:vAlign w:val="center"/>
            <w:hideMark/>
          </w:tcPr>
          <w:p w14:paraId="15EDFC0F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Age ≥ 65 years </w:t>
            </w:r>
          </w:p>
        </w:tc>
        <w:tc>
          <w:tcPr>
            <w:tcW w:w="1276" w:type="dxa"/>
            <w:tcBorders>
              <w:top w:val="single" w:sz="4" w:space="0" w:color="211C1E"/>
              <w:left w:val="single" w:sz="4" w:space="0" w:color="211C1E"/>
              <w:bottom w:val="single" w:sz="18" w:space="0" w:color="1E191E"/>
              <w:right w:val="single" w:sz="4" w:space="0" w:color="211C1E"/>
            </w:tcBorders>
            <w:vAlign w:val="center"/>
            <w:hideMark/>
          </w:tcPr>
          <w:p w14:paraId="65EB7FBF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1 </w:t>
            </w:r>
          </w:p>
        </w:tc>
      </w:tr>
      <w:tr w:rsidR="000C2167" w:rsidRPr="001D3E64" w14:paraId="6AB18A3E" w14:textId="77777777" w:rsidTr="00D95215">
        <w:tc>
          <w:tcPr>
            <w:tcW w:w="4531" w:type="dxa"/>
            <w:tcBorders>
              <w:top w:val="single" w:sz="18" w:space="0" w:color="1C1C1C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vAlign w:val="center"/>
            <w:hideMark/>
          </w:tcPr>
          <w:p w14:paraId="4949BAC1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b/>
                <w:bCs/>
                <w:color w:val="211E1E"/>
                <w:lang w:val="en-AU"/>
              </w:rPr>
              <w:t xml:space="preserve">Total points: </w:t>
            </w:r>
          </w:p>
        </w:tc>
        <w:tc>
          <w:tcPr>
            <w:tcW w:w="1276" w:type="dxa"/>
            <w:tcBorders>
              <w:top w:val="single" w:sz="18" w:space="0" w:color="1E191E"/>
              <w:left w:val="single" w:sz="4" w:space="0" w:color="211C1E"/>
              <w:bottom w:val="single" w:sz="4" w:space="0" w:color="211C1E"/>
              <w:right w:val="single" w:sz="4" w:space="0" w:color="211C1E"/>
            </w:tcBorders>
            <w:vAlign w:val="center"/>
            <w:hideMark/>
          </w:tcPr>
          <w:p w14:paraId="2C8E5076" w14:textId="77777777" w:rsidR="000C2167" w:rsidRPr="001D3E64" w:rsidRDefault="000C2167" w:rsidP="00C64B92">
            <w:pPr>
              <w:spacing w:line="480" w:lineRule="auto"/>
              <w:rPr>
                <w:rFonts w:ascii="Times" w:eastAsia="Times New Roman" w:hAnsi="Times" w:cs="Times New Roman"/>
                <w:lang w:val="en-AU"/>
              </w:rPr>
            </w:pPr>
          </w:p>
        </w:tc>
      </w:tr>
    </w:tbl>
    <w:p w14:paraId="38116263" w14:textId="77777777" w:rsidR="000C2167" w:rsidRPr="001D3E64" w:rsidRDefault="000C2167" w:rsidP="00C64B92">
      <w:pPr>
        <w:spacing w:line="480" w:lineRule="auto"/>
        <w:rPr>
          <w:rFonts w:ascii="Times" w:eastAsia="Times New Roman" w:hAnsi="Times" w:cs="Times New Roman"/>
          <w:vanish/>
          <w:lang w:val="en-A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719"/>
        <w:gridCol w:w="5856"/>
      </w:tblGrid>
      <w:tr w:rsidR="000C2167" w:rsidRPr="001D3E64" w14:paraId="3AD8CFA1" w14:textId="77777777" w:rsidTr="00D95215">
        <w:tc>
          <w:tcPr>
            <w:tcW w:w="0" w:type="auto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0DF83F18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b/>
                <w:bCs/>
                <w:color w:val="211E1E"/>
                <w:lang w:val="en-AU"/>
              </w:rPr>
              <w:t xml:space="preserve">CURB-65 score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07992801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b/>
                <w:bCs/>
                <w:color w:val="211E1E"/>
                <w:lang w:val="en-AU"/>
              </w:rPr>
              <w:t>Deaths/total (</w:t>
            </w:r>
            <w:proofErr w:type="gramStart"/>
            <w:r w:rsidRPr="001D3E64">
              <w:rPr>
                <w:rFonts w:ascii="Times" w:eastAsia="Times New Roman" w:hAnsi="Times" w:cs="Times New Roman"/>
                <w:b/>
                <w:bCs/>
                <w:color w:val="211E1E"/>
                <w:lang w:val="en-AU"/>
              </w:rPr>
              <w:t>%)*</w:t>
            </w:r>
            <w:proofErr w:type="gramEnd"/>
            <w:r w:rsidRPr="001D3E64">
              <w:rPr>
                <w:rFonts w:ascii="Times" w:eastAsia="Times New Roman" w:hAnsi="Times" w:cs="Times New Roman"/>
                <w:b/>
                <w:bCs/>
                <w:color w:val="211E1E"/>
                <w:lang w:val="en-A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19A06F41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b/>
                <w:bCs/>
                <w:color w:val="211E1E"/>
                <w:lang w:val="en-AU"/>
              </w:rPr>
              <w:t xml:space="preserve">Recommendation† </w:t>
            </w:r>
          </w:p>
        </w:tc>
      </w:tr>
      <w:tr w:rsidR="000C2167" w:rsidRPr="001D3E64" w14:paraId="1553354E" w14:textId="77777777" w:rsidTr="00D95215">
        <w:tc>
          <w:tcPr>
            <w:tcW w:w="0" w:type="auto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2AA2241D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29503119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7/1,223 (0.6) </w:t>
            </w:r>
          </w:p>
        </w:tc>
        <w:tc>
          <w:tcPr>
            <w:tcW w:w="0" w:type="auto"/>
            <w:vMerge w:val="restart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vAlign w:val="center"/>
            <w:hideMark/>
          </w:tcPr>
          <w:p w14:paraId="04784748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Low risk; consider home treatment </w:t>
            </w:r>
          </w:p>
        </w:tc>
      </w:tr>
      <w:tr w:rsidR="000C2167" w:rsidRPr="001D3E64" w14:paraId="72B2BBC1" w14:textId="77777777" w:rsidTr="00D95215">
        <w:tc>
          <w:tcPr>
            <w:tcW w:w="0" w:type="auto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3430A1E4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48BF7647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31/1,142 (2.7) </w:t>
            </w:r>
          </w:p>
        </w:tc>
        <w:tc>
          <w:tcPr>
            <w:tcW w:w="0" w:type="auto"/>
            <w:vMerge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vAlign w:val="center"/>
            <w:hideMark/>
          </w:tcPr>
          <w:p w14:paraId="74296273" w14:textId="77777777" w:rsidR="000C2167" w:rsidRPr="001D3E64" w:rsidRDefault="000C2167" w:rsidP="00C64B92">
            <w:pPr>
              <w:spacing w:line="480" w:lineRule="auto"/>
              <w:rPr>
                <w:rFonts w:ascii="Times" w:eastAsia="Times New Roman" w:hAnsi="Times" w:cs="Times New Roman"/>
                <w:lang w:val="en-AU"/>
              </w:rPr>
            </w:pPr>
          </w:p>
        </w:tc>
      </w:tr>
      <w:tr w:rsidR="000C2167" w:rsidRPr="001D3E64" w14:paraId="5EF9448F" w14:textId="77777777" w:rsidTr="00D95215">
        <w:tc>
          <w:tcPr>
            <w:tcW w:w="0" w:type="auto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4DD9BD32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353BF82A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69/1,019 (6.8)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58AC244B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Short inpatient hospitalization or closely supervised outpatient treatment </w:t>
            </w:r>
          </w:p>
        </w:tc>
      </w:tr>
      <w:tr w:rsidR="000C2167" w:rsidRPr="001D3E64" w14:paraId="35745F1E" w14:textId="77777777" w:rsidTr="00D95215">
        <w:tc>
          <w:tcPr>
            <w:tcW w:w="0" w:type="auto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1BC810B2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653541F9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79/563 (14.0) </w:t>
            </w:r>
          </w:p>
        </w:tc>
        <w:tc>
          <w:tcPr>
            <w:tcW w:w="0" w:type="auto"/>
            <w:vMerge w:val="restart"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vAlign w:val="center"/>
            <w:hideMark/>
          </w:tcPr>
          <w:p w14:paraId="4730C7F8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Severe pneumonia; hospitalize and consider admitting to intensive care </w:t>
            </w:r>
          </w:p>
        </w:tc>
      </w:tr>
      <w:tr w:rsidR="000C2167" w:rsidRPr="001D3E64" w14:paraId="6520A085" w14:textId="77777777" w:rsidTr="00D95215">
        <w:tc>
          <w:tcPr>
            <w:tcW w:w="0" w:type="auto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4C71DC90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4 or 5 </w:t>
            </w:r>
          </w:p>
        </w:tc>
        <w:tc>
          <w:tcPr>
            <w:tcW w:w="0" w:type="auto"/>
            <w:tcBorders>
              <w:top w:val="single" w:sz="4" w:space="0" w:color="211E1E"/>
              <w:left w:val="single" w:sz="4" w:space="0" w:color="211E1E"/>
              <w:bottom w:val="single" w:sz="4" w:space="0" w:color="211E1E"/>
              <w:right w:val="single" w:sz="4" w:space="0" w:color="211E1E"/>
            </w:tcBorders>
            <w:vAlign w:val="center"/>
            <w:hideMark/>
          </w:tcPr>
          <w:p w14:paraId="472751E9" w14:textId="77777777" w:rsidR="000C2167" w:rsidRPr="001D3E64" w:rsidRDefault="000C2167" w:rsidP="00C64B92">
            <w:pPr>
              <w:spacing w:before="100" w:beforeAutospacing="1" w:after="100" w:afterAutospacing="1" w:line="480" w:lineRule="auto"/>
              <w:rPr>
                <w:rFonts w:ascii="Times" w:eastAsia="Times New Roman" w:hAnsi="Times" w:cs="Times New Roman"/>
                <w:lang w:val="en-AU"/>
              </w:rPr>
            </w:pPr>
            <w:r w:rsidRPr="001D3E64">
              <w:rPr>
                <w:rFonts w:ascii="Times" w:eastAsia="Times New Roman" w:hAnsi="Times" w:cs="Times New Roman"/>
                <w:color w:val="211E1E"/>
                <w:lang w:val="en-AU"/>
              </w:rPr>
              <w:t xml:space="preserve">44/158 (27.8) </w:t>
            </w:r>
          </w:p>
        </w:tc>
        <w:tc>
          <w:tcPr>
            <w:tcW w:w="0" w:type="auto"/>
            <w:vMerge/>
            <w:tcBorders>
              <w:top w:val="single" w:sz="4" w:space="0" w:color="211E1E"/>
              <w:left w:val="single" w:sz="4" w:space="0" w:color="211C1E"/>
              <w:bottom w:val="single" w:sz="4" w:space="0" w:color="211E1E"/>
              <w:right w:val="single" w:sz="4" w:space="0" w:color="211C1E"/>
            </w:tcBorders>
            <w:vAlign w:val="center"/>
            <w:hideMark/>
          </w:tcPr>
          <w:p w14:paraId="4A7E2A11" w14:textId="77777777" w:rsidR="000C2167" w:rsidRPr="001D3E64" w:rsidRDefault="000C2167" w:rsidP="00C64B92">
            <w:pPr>
              <w:spacing w:line="480" w:lineRule="auto"/>
              <w:rPr>
                <w:rFonts w:ascii="Times" w:eastAsia="Times New Roman" w:hAnsi="Times" w:cs="Times New Roman"/>
                <w:lang w:val="en-AU"/>
              </w:rPr>
            </w:pPr>
          </w:p>
        </w:tc>
      </w:tr>
    </w:tbl>
    <w:p w14:paraId="33FE0EF3" w14:textId="260C931C" w:rsidR="000C2167" w:rsidRPr="001D3E64" w:rsidRDefault="000C2167" w:rsidP="00C64B92">
      <w:pPr>
        <w:spacing w:line="480" w:lineRule="auto"/>
        <w:rPr>
          <w:rFonts w:ascii="Times" w:hAnsi="Times"/>
        </w:rPr>
      </w:pPr>
      <w:r w:rsidRPr="001D3E64">
        <w:rPr>
          <w:rFonts w:ascii="Times" w:hAnsi="Times"/>
        </w:rPr>
        <w:t>CURB-65 = Confusion, Urea nitrogen, Respiratory rate, Blood pressure, 65 years of age and older</w:t>
      </w:r>
      <w:r w:rsidR="006B15B2" w:rsidRPr="00597931">
        <w:rPr>
          <w:rFonts w:ascii="Times" w:hAnsi="Times"/>
        </w:rPr>
        <w:t>.</w:t>
      </w:r>
      <w:r w:rsidR="006B15B2" w:rsidRPr="001D3E64">
        <w:rPr>
          <w:rFonts w:ascii="Times" w:hAnsi="Times"/>
        </w:rPr>
        <w:fldChar w:fldCharType="begin"/>
      </w:r>
      <w:r w:rsidR="006B15B2" w:rsidRPr="001D3E64">
        <w:rPr>
          <w:rFonts w:ascii="Times" w:hAnsi="Times"/>
        </w:rPr>
        <w:instrText xml:space="preserve"> ADDIN EN.CITE &lt;EndNote&gt;&lt;Cite&gt;&lt;Author&gt;Ebell MH&lt;/Author&gt;&lt;Year&gt;2006&lt;/Year&gt;&lt;RecNum&gt;40063&lt;/RecNum&gt;&lt;DisplayText&gt;&lt;style face="superscript"&gt;1&lt;/style&gt;&lt;/DisplayText&gt;&lt;record&gt;&lt;rec-number&gt;40063&lt;/rec-number&gt;&lt;foreign-keys&gt;&lt;key app="EN" db-id="rxpr2rd5af9s0pee5syvtdw2a09dsp9t0ww2" timestamp="1491640688"&gt;40063&lt;/key&gt;&lt;/foreign-keys&gt;&lt;ref-type name="Journal Article"&gt;17&lt;/ref-type&gt;&lt;contributors&gt;&lt;authors&gt;&lt;author&gt;Ebell MH,&lt;/author&gt;&lt;/authors&gt;&lt;/contributors&gt;&lt;auth-address&gt;Department of Family Practice, Michigan State University College of Human Medicine, East Lansing, USA.&lt;/auth-address&gt;&lt;titles&gt;&lt;title&gt;Outpatient vs. inpatient treatment of community acquired pneumonia&lt;/title&gt;&lt;secondary-title&gt;Fam Pract Manag&lt;/secondary-title&gt;&lt;alt-title&gt;Family practice management&lt;/alt-title&gt;&lt;/titles&gt;&lt;periodical&gt;&lt;full-title&gt;Fam Pract Manag&lt;/full-title&gt;&lt;/periodical&gt;&lt;alt-periodical&gt;&lt;full-title&gt;Family Practice Management&lt;/full-title&gt;&lt;/alt-periodical&gt;&lt;pages&gt;41-4&lt;/pages&gt;&lt;volume&gt;13&lt;/volume&gt;&lt;number&gt;4&lt;/number&gt;&lt;edition&gt;2006/05/05&lt;/edition&gt;&lt;keywords&gt;&lt;keyword&gt;Ambulatory Care&lt;/keyword&gt;&lt;keyword&gt;*Clinical Protocols&lt;/keyword&gt;&lt;keyword&gt;Community-Acquired Infections/*diagnosis&lt;/keyword&gt;&lt;keyword&gt;Decision Making&lt;/keyword&gt;&lt;keyword&gt;Hospitalization&lt;/keyword&gt;&lt;keyword&gt;Humans&lt;/keyword&gt;&lt;keyword&gt;Male&lt;/keyword&gt;&lt;keyword&gt;Middle Aged&lt;/keyword&gt;&lt;keyword&gt;Pneumonia, Bacterial/*diagnosis&lt;/keyword&gt;&lt;keyword&gt;*Point-of-Care Systems&lt;/keyword&gt;&lt;keyword&gt;*Risk Assessment&lt;/keyword&gt;&lt;keyword&gt;Severity of Illness Index&lt;/keyword&gt;&lt;/keywords&gt;&lt;dates&gt;&lt;year&gt;2006&lt;/year&gt;&lt;pub-dates&gt;&lt;date&gt;Apr&lt;/date&gt;&lt;/pub-dates&gt;&lt;/dates&gt;&lt;isbn&gt;1069-5648 (Print)&amp;#xD;1069-5648&lt;/isbn&gt;&lt;accession-num&gt;16671349&lt;/accession-num&gt;&lt;urls&gt;&lt;/urls&gt;&lt;remote-database-provider&gt;NLM&lt;/remote-database-provider&gt;&lt;research-notes&gt;HR. Excluded. NET.&lt;/research-notes&gt;&lt;language&gt;eng&lt;/language&gt;&lt;/record&gt;&lt;/Cite&gt;&lt;/EndNote&gt;</w:instrText>
      </w:r>
      <w:r w:rsidR="006B15B2" w:rsidRPr="001D3E64">
        <w:rPr>
          <w:rFonts w:ascii="Times" w:hAnsi="Times"/>
        </w:rPr>
        <w:fldChar w:fldCharType="separate"/>
      </w:r>
      <w:r w:rsidR="006B15B2" w:rsidRPr="001D3E64">
        <w:rPr>
          <w:rFonts w:ascii="Times" w:hAnsi="Times"/>
          <w:noProof/>
          <w:vertAlign w:val="superscript"/>
        </w:rPr>
        <w:t>1</w:t>
      </w:r>
      <w:r w:rsidR="006B15B2" w:rsidRPr="001D3E64">
        <w:rPr>
          <w:rFonts w:ascii="Times" w:hAnsi="Times"/>
        </w:rPr>
        <w:fldChar w:fldCharType="end"/>
      </w:r>
    </w:p>
    <w:p w14:paraId="34904F67" w14:textId="492EDD6D" w:rsidR="000C2167" w:rsidRPr="001D3E64" w:rsidRDefault="000C2167" w:rsidP="00C64B92">
      <w:pPr>
        <w:spacing w:line="480" w:lineRule="auto"/>
        <w:rPr>
          <w:rFonts w:ascii="Times" w:hAnsi="Times"/>
          <w:vertAlign w:val="superscript"/>
        </w:rPr>
      </w:pPr>
      <w:r w:rsidRPr="001D3E64">
        <w:rPr>
          <w:rFonts w:ascii="Times" w:hAnsi="Times"/>
        </w:rPr>
        <w:t>*—Data are weighted averages from validation studies</w:t>
      </w:r>
      <w:r w:rsidR="006B15B2" w:rsidRPr="001D3E64">
        <w:rPr>
          <w:rFonts w:ascii="Times" w:hAnsi="Times"/>
        </w:rPr>
        <w:fldChar w:fldCharType="begin">
          <w:fldData xml:space="preserve">PEVuZE5vdGU+PENpdGU+PEF1dGhvcj5BdWplc2t5IEQ8L0F1dGhvcj48WWVhcj4yMDA1PC9ZZWFy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</w:fldData>
        </w:fldChar>
      </w:r>
      <w:r w:rsidR="006B15B2" w:rsidRPr="001D3E64">
        <w:rPr>
          <w:rFonts w:ascii="Times" w:hAnsi="Times"/>
        </w:rPr>
        <w:instrText xml:space="preserve"> ADDIN EN.CITE </w:instrText>
      </w:r>
      <w:r w:rsidR="006B15B2" w:rsidRPr="001D3E64">
        <w:rPr>
          <w:rFonts w:ascii="Times" w:hAnsi="Times"/>
        </w:rPr>
        <w:fldChar w:fldCharType="begin">
          <w:fldData xml:space="preserve">PEVuZE5vdGU+PENpdGU+PEF1dGhvcj5BdWplc2t5IEQ8L0F1dGhvcj48WWVhcj4yMDA1PC9ZZWFy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</w:fldData>
        </w:fldChar>
      </w:r>
      <w:r w:rsidR="006B15B2" w:rsidRPr="001D3E64">
        <w:rPr>
          <w:rFonts w:ascii="Times" w:hAnsi="Times"/>
        </w:rPr>
        <w:instrText xml:space="preserve"> ADDIN EN.CITE.DATA </w:instrText>
      </w:r>
      <w:r w:rsidR="006B15B2" w:rsidRPr="001D3E64">
        <w:rPr>
          <w:rFonts w:ascii="Times" w:hAnsi="Times"/>
        </w:rPr>
      </w:r>
      <w:r w:rsidR="006B15B2" w:rsidRPr="001D3E64">
        <w:rPr>
          <w:rFonts w:ascii="Times" w:hAnsi="Times"/>
        </w:rPr>
        <w:fldChar w:fldCharType="end"/>
      </w:r>
      <w:r w:rsidR="006B15B2" w:rsidRPr="001D3E64">
        <w:rPr>
          <w:rFonts w:ascii="Times" w:hAnsi="Times"/>
        </w:rPr>
      </w:r>
      <w:r w:rsidR="006B15B2" w:rsidRPr="001D3E64">
        <w:rPr>
          <w:rFonts w:ascii="Times" w:hAnsi="Times"/>
        </w:rPr>
        <w:fldChar w:fldCharType="separate"/>
      </w:r>
      <w:r w:rsidR="006B15B2" w:rsidRPr="001D3E64">
        <w:rPr>
          <w:rFonts w:ascii="Times" w:hAnsi="Times"/>
          <w:noProof/>
          <w:vertAlign w:val="superscript"/>
        </w:rPr>
        <w:t>2, 3</w:t>
      </w:r>
      <w:r w:rsidR="006B15B2" w:rsidRPr="001D3E64">
        <w:rPr>
          <w:rFonts w:ascii="Times" w:hAnsi="Times"/>
        </w:rPr>
        <w:fldChar w:fldCharType="end"/>
      </w:r>
    </w:p>
    <w:p w14:paraId="66C04E10" w14:textId="4B746FDD" w:rsidR="000C2167" w:rsidRPr="001D3E64" w:rsidRDefault="000C2167" w:rsidP="00C64B92">
      <w:pPr>
        <w:spacing w:line="480" w:lineRule="auto"/>
        <w:rPr>
          <w:rFonts w:ascii="Times" w:hAnsi="Times"/>
        </w:rPr>
      </w:pPr>
      <w:r w:rsidRPr="001D3E64">
        <w:rPr>
          <w:rFonts w:ascii="Times" w:hAnsi="Times"/>
        </w:rPr>
        <w:t>†—Recommendations are consistent with British Thoracic Society guidelines</w:t>
      </w:r>
      <w:r w:rsidR="001D3E64" w:rsidRPr="001D3E64">
        <w:rPr>
          <w:rFonts w:ascii="Times" w:hAnsi="Times"/>
        </w:rPr>
        <w:t>.</w:t>
      </w:r>
      <w:r w:rsidR="001D3E64" w:rsidRPr="001D3E64">
        <w:rPr>
          <w:rFonts w:ascii="Times" w:hAnsi="Times"/>
        </w:rPr>
        <w:fldChar w:fldCharType="begin"/>
      </w:r>
      <w:r w:rsidR="001D3E64" w:rsidRPr="001D3E64">
        <w:rPr>
          <w:rFonts w:ascii="Times" w:hAnsi="Times"/>
        </w:rPr>
        <w:instrText xml:space="preserve"> ADDIN EN.CITE &lt;EndNote&gt;&lt;Cite&gt;&lt;Author&gt;British Thoracic Society&lt;/Author&gt;&lt;Year&gt;2001&lt;/Year&gt;&lt;RecNum&gt;47173&lt;/RecNum&gt;&lt;DisplayText&gt;&lt;style face="superscript"&gt;4&lt;/style&gt;&lt;/DisplayText&gt;&lt;record&gt;&lt;rec-number&gt;47173&lt;/rec-number&gt;&lt;foreign-keys&gt;&lt;key app="EN" db-id="rxpr2rd5af9s0pee5syvtdw2a09dsp9t0ww2" timestamp="1546501171"&gt;47173&lt;/key&gt;&lt;/foreign-keys&gt;&lt;ref-type name="Journal Article"&gt;17&lt;/ref-type&gt;&lt;contributors&gt;&lt;authors&gt;&lt;author&gt;British Thoracic Society,&lt;/author&gt;&lt;/authors&gt;&lt;/contributors&gt;&lt;titles&gt;&lt;title&gt;BTS Guidelines for the Management of Community Acquired Pneumonia in Adults&lt;/title&gt;&lt;secondary-title&gt;Thorax&lt;/secondary-title&gt;&lt;alt-title&gt;Thorax&lt;/alt-title&gt;&lt;/titles&gt;&lt;periodical&gt;&lt;full-title&gt;Thorax&lt;/full-title&gt;&lt;/periodical&gt;&lt;alt-periodical&gt;&lt;full-title&gt;Thorax&lt;/full-title&gt;&lt;/alt-periodical&gt;&lt;pages&gt;Iv1-64&lt;/pages&gt;&lt;volume&gt;56 Suppl 4&lt;/volume&gt;&lt;edition&gt;2001/11/20&lt;/edition&gt;&lt;keywords&gt;&lt;keyword&gt;Adult&lt;/keyword&gt;&lt;keyword&gt;Anti-Bacterial Agents/therapeutic use&lt;/keyword&gt;&lt;keyword&gt;Community-Acquired Infections/diagnosis/etiology/*therapy&lt;/keyword&gt;&lt;keyword&gt;Decision Making&lt;/keyword&gt;&lt;keyword&gt;Humans&lt;/keyword&gt;&lt;keyword&gt;Pneumonia/*therapy&lt;/keyword&gt;&lt;keyword&gt;Prognosis&lt;/keyword&gt;&lt;/keywords&gt;&lt;dates&gt;&lt;year&gt;2001&lt;/year&gt;&lt;pub-dates&gt;&lt;date&gt;Dec&lt;/date&gt;&lt;/pub-dates&gt;&lt;/dates&gt;&lt;isbn&gt;0040-6376 (Print)&amp;#xD;0040-6376&lt;/isbn&gt;&lt;accession-num&gt;11713364&lt;/accession-num&gt;&lt;urls&gt;&lt;/urls&gt;&lt;custom2&gt;PMC1765992&lt;/custom2&gt;&lt;remote-database-provider&gt;NLM&lt;/remote-database-provider&gt;&lt;language&gt;eng&lt;/language&gt;&lt;/record&gt;&lt;/Cite&gt;&lt;/EndNote&gt;</w:instrText>
      </w:r>
      <w:r w:rsidR="001D3E64" w:rsidRPr="001D3E64">
        <w:rPr>
          <w:rFonts w:ascii="Times" w:hAnsi="Times"/>
        </w:rPr>
        <w:fldChar w:fldCharType="separate"/>
      </w:r>
      <w:r w:rsidR="001D3E64" w:rsidRPr="001D3E64">
        <w:rPr>
          <w:rFonts w:ascii="Times" w:hAnsi="Times"/>
          <w:noProof/>
          <w:vertAlign w:val="superscript"/>
        </w:rPr>
        <w:t>4</w:t>
      </w:r>
      <w:r w:rsidR="001D3E64" w:rsidRPr="001D3E64">
        <w:rPr>
          <w:rFonts w:ascii="Times" w:hAnsi="Times"/>
        </w:rPr>
        <w:fldChar w:fldCharType="end"/>
      </w:r>
      <w:r w:rsidRPr="001D3E64">
        <w:rPr>
          <w:rFonts w:ascii="Times" w:hAnsi="Times"/>
        </w:rPr>
        <w:t xml:space="preserve"> </w:t>
      </w:r>
    </w:p>
    <w:p w14:paraId="005EB24F" w14:textId="7D3ED0C8" w:rsidR="00BB5895" w:rsidRPr="001D3E64" w:rsidRDefault="00BB5895" w:rsidP="00C64B92">
      <w:pPr>
        <w:pStyle w:val="EndNoteBibliography"/>
        <w:spacing w:line="480" w:lineRule="auto"/>
        <w:rPr>
          <w:rFonts w:ascii="Times" w:hAnsi="Times"/>
          <w:b/>
        </w:rPr>
      </w:pPr>
      <w:r w:rsidRPr="001D3E64">
        <w:rPr>
          <w:rFonts w:ascii="Times" w:hAnsi="Times"/>
          <w:b/>
        </w:rPr>
        <w:t>S</w:t>
      </w:r>
      <w:r w:rsidR="003E40F1" w:rsidRPr="001D3E64">
        <w:rPr>
          <w:rFonts w:ascii="Times" w:hAnsi="Times"/>
          <w:b/>
        </w:rPr>
        <w:t>2</w:t>
      </w:r>
      <w:r w:rsidRPr="001D3E64">
        <w:rPr>
          <w:rFonts w:ascii="Times" w:hAnsi="Times"/>
          <w:b/>
        </w:rPr>
        <w:t>. Characteristics of participants who contributed StepWatch Activity Monitor data to the final analyses.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8075"/>
        <w:gridCol w:w="1418"/>
      </w:tblGrid>
      <w:tr w:rsidR="00BB5895" w:rsidRPr="001D3E64" w14:paraId="10886AF6" w14:textId="77777777" w:rsidTr="00D95215">
        <w:tc>
          <w:tcPr>
            <w:tcW w:w="8075" w:type="dxa"/>
          </w:tcPr>
          <w:p w14:paraId="4BEB43AF" w14:textId="77777777" w:rsidR="00BB5895" w:rsidRPr="001D3E64" w:rsidRDefault="00BB5895" w:rsidP="00C64B92">
            <w:pPr>
              <w:pStyle w:val="EndNoteBibliography"/>
              <w:spacing w:line="480" w:lineRule="auto"/>
              <w:rPr>
                <w:rFonts w:ascii="Times" w:hAnsi="Times"/>
                <w:b/>
              </w:rPr>
            </w:pPr>
            <w:r w:rsidRPr="001D3E64">
              <w:rPr>
                <w:rFonts w:ascii="Times" w:hAnsi="Times"/>
                <w:b/>
              </w:rPr>
              <w:lastRenderedPageBreak/>
              <w:t>Data</w:t>
            </w:r>
          </w:p>
        </w:tc>
        <w:tc>
          <w:tcPr>
            <w:tcW w:w="1418" w:type="dxa"/>
          </w:tcPr>
          <w:p w14:paraId="1B907941" w14:textId="77777777" w:rsidR="00BB5895" w:rsidRPr="001D3E64" w:rsidRDefault="00BB5895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  <w:b/>
              </w:rPr>
            </w:pPr>
            <w:r w:rsidRPr="001D3E64">
              <w:rPr>
                <w:rFonts w:ascii="Times" w:hAnsi="Times"/>
                <w:b/>
              </w:rPr>
              <w:t>N = 121</w:t>
            </w:r>
          </w:p>
        </w:tc>
      </w:tr>
      <w:tr w:rsidR="00BB5895" w:rsidRPr="001D3E64" w14:paraId="47EE8F3B" w14:textId="77777777" w:rsidTr="00D95215">
        <w:tc>
          <w:tcPr>
            <w:tcW w:w="8075" w:type="dxa"/>
          </w:tcPr>
          <w:p w14:paraId="5C7C299F" w14:textId="77777777" w:rsidR="00BB5895" w:rsidRPr="001D3E64" w:rsidRDefault="00BB5895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Age (</w:t>
            </w:r>
            <w:proofErr w:type="spellStart"/>
            <w:r w:rsidRPr="001D3E64">
              <w:rPr>
                <w:rFonts w:ascii="Times" w:hAnsi="Times"/>
              </w:rPr>
              <w:t>yr</w:t>
            </w:r>
            <w:proofErr w:type="spellEnd"/>
            <w:r w:rsidRPr="001D3E64">
              <w:rPr>
                <w:rFonts w:ascii="Times" w:hAnsi="Times"/>
              </w:rPr>
              <w:t>)</w:t>
            </w:r>
          </w:p>
        </w:tc>
        <w:tc>
          <w:tcPr>
            <w:tcW w:w="1418" w:type="dxa"/>
          </w:tcPr>
          <w:p w14:paraId="225592D4" w14:textId="77777777" w:rsidR="00BB5895" w:rsidRPr="001D3E64" w:rsidRDefault="00BB5895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67.8 ± 16.8</w:t>
            </w:r>
          </w:p>
        </w:tc>
      </w:tr>
      <w:tr w:rsidR="00BB5895" w:rsidRPr="001D3E64" w14:paraId="3A4F7A88" w14:textId="77777777" w:rsidTr="00D95215">
        <w:tc>
          <w:tcPr>
            <w:tcW w:w="8075" w:type="dxa"/>
          </w:tcPr>
          <w:p w14:paraId="25F99776" w14:textId="77777777" w:rsidR="00BB5895" w:rsidRPr="001D3E64" w:rsidRDefault="00BB5895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Males, n (%)</w:t>
            </w:r>
          </w:p>
        </w:tc>
        <w:tc>
          <w:tcPr>
            <w:tcW w:w="1418" w:type="dxa"/>
          </w:tcPr>
          <w:p w14:paraId="73345937" w14:textId="77777777" w:rsidR="00BB5895" w:rsidRPr="001D3E64" w:rsidRDefault="00BB5895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74 (61)</w:t>
            </w:r>
          </w:p>
        </w:tc>
      </w:tr>
      <w:tr w:rsidR="00BB5895" w:rsidRPr="001D3E64" w14:paraId="47EE9497" w14:textId="77777777" w:rsidTr="00D95215">
        <w:tc>
          <w:tcPr>
            <w:tcW w:w="8075" w:type="dxa"/>
          </w:tcPr>
          <w:p w14:paraId="161C8E72" w14:textId="77777777" w:rsidR="00BB5895" w:rsidRPr="001D3E64" w:rsidRDefault="00BB5895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Clinical Frailty Scale (score 1 to 7)</w:t>
            </w:r>
          </w:p>
        </w:tc>
        <w:tc>
          <w:tcPr>
            <w:tcW w:w="1418" w:type="dxa"/>
          </w:tcPr>
          <w:p w14:paraId="6091797D" w14:textId="77777777" w:rsidR="00BB5895" w:rsidRPr="001D3E64" w:rsidRDefault="00BB5895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3 [1]</w:t>
            </w:r>
          </w:p>
        </w:tc>
      </w:tr>
      <w:tr w:rsidR="00BB5895" w:rsidRPr="001D3E64" w14:paraId="53BB2AD5" w14:textId="77777777" w:rsidTr="00D95215">
        <w:tc>
          <w:tcPr>
            <w:tcW w:w="8075" w:type="dxa"/>
          </w:tcPr>
          <w:p w14:paraId="26C73914" w14:textId="6DDC89C1" w:rsidR="00BB5895" w:rsidRPr="001D3E64" w:rsidRDefault="00BB5895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 xml:space="preserve">CURB-65 (score 0 to </w:t>
            </w:r>
            <w:r w:rsidR="00594164" w:rsidRPr="001D3E64">
              <w:rPr>
                <w:rFonts w:ascii="Times" w:hAnsi="Times"/>
              </w:rPr>
              <w:t>5</w:t>
            </w:r>
            <w:r w:rsidRPr="001D3E64">
              <w:rPr>
                <w:rFonts w:ascii="Times" w:hAnsi="Times"/>
              </w:rPr>
              <w:t>)</w:t>
            </w:r>
          </w:p>
        </w:tc>
        <w:tc>
          <w:tcPr>
            <w:tcW w:w="1418" w:type="dxa"/>
          </w:tcPr>
          <w:p w14:paraId="43E56E09" w14:textId="77777777" w:rsidR="00BB5895" w:rsidRPr="001D3E64" w:rsidRDefault="00BB5895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1 [1]</w:t>
            </w:r>
          </w:p>
        </w:tc>
      </w:tr>
      <w:tr w:rsidR="00BB5895" w:rsidRPr="001D3E64" w14:paraId="2EE21DD0" w14:textId="77777777" w:rsidTr="00D95215">
        <w:tc>
          <w:tcPr>
            <w:tcW w:w="8075" w:type="dxa"/>
          </w:tcPr>
          <w:p w14:paraId="4E6705DE" w14:textId="77777777" w:rsidR="00BB5895" w:rsidRPr="001D3E64" w:rsidRDefault="00BB5895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Presence of a pleural effusion, n (%)</w:t>
            </w:r>
          </w:p>
        </w:tc>
        <w:tc>
          <w:tcPr>
            <w:tcW w:w="1418" w:type="dxa"/>
          </w:tcPr>
          <w:p w14:paraId="61590357" w14:textId="77777777" w:rsidR="00BB5895" w:rsidRPr="001D3E64" w:rsidRDefault="00BB5895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32 (26)</w:t>
            </w:r>
          </w:p>
        </w:tc>
      </w:tr>
      <w:tr w:rsidR="00BB5895" w:rsidRPr="001D3E64" w14:paraId="24EA0F89" w14:textId="77777777" w:rsidTr="00D95215">
        <w:tc>
          <w:tcPr>
            <w:tcW w:w="8075" w:type="dxa"/>
          </w:tcPr>
          <w:p w14:paraId="339E7C0C" w14:textId="77777777" w:rsidR="00BB5895" w:rsidRPr="001D3E64" w:rsidRDefault="00BB5895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Total number of occasions of physiotherapy services</w:t>
            </w:r>
          </w:p>
        </w:tc>
        <w:tc>
          <w:tcPr>
            <w:tcW w:w="1418" w:type="dxa"/>
          </w:tcPr>
          <w:p w14:paraId="620996C6" w14:textId="77777777" w:rsidR="00BB5895" w:rsidRPr="001D3E64" w:rsidRDefault="00BB5895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2 [3]</w:t>
            </w:r>
          </w:p>
        </w:tc>
      </w:tr>
      <w:tr w:rsidR="00BB5895" w:rsidRPr="001D3E64" w14:paraId="3EDD6648" w14:textId="77777777" w:rsidTr="00D95215">
        <w:tc>
          <w:tcPr>
            <w:tcW w:w="8075" w:type="dxa"/>
          </w:tcPr>
          <w:p w14:paraId="4262B9EF" w14:textId="77777777" w:rsidR="00BB5895" w:rsidRPr="001D3E64" w:rsidRDefault="00BB5895" w:rsidP="00C64B92">
            <w:pPr>
              <w:pStyle w:val="EndNoteBibliography"/>
              <w:spacing w:line="480" w:lineRule="auto"/>
              <w:rPr>
                <w:rFonts w:ascii="Times" w:hAnsi="Times"/>
                <w:highlight w:val="yellow"/>
              </w:rPr>
            </w:pPr>
            <w:r w:rsidRPr="001D3E64">
              <w:rPr>
                <w:rFonts w:ascii="Times" w:hAnsi="Times"/>
              </w:rPr>
              <w:t>Use of new supplemental oxygen, n (%)</w:t>
            </w:r>
          </w:p>
        </w:tc>
        <w:tc>
          <w:tcPr>
            <w:tcW w:w="1418" w:type="dxa"/>
          </w:tcPr>
          <w:p w14:paraId="6083E462" w14:textId="77777777" w:rsidR="00BB5895" w:rsidRPr="001D3E64" w:rsidRDefault="00BB5895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80 (66)</w:t>
            </w:r>
          </w:p>
        </w:tc>
      </w:tr>
      <w:tr w:rsidR="00BB5895" w:rsidRPr="001D3E64" w14:paraId="56D04EBC" w14:textId="77777777" w:rsidTr="00D95215">
        <w:tc>
          <w:tcPr>
            <w:tcW w:w="8075" w:type="dxa"/>
          </w:tcPr>
          <w:p w14:paraId="4EA9BA76" w14:textId="77777777" w:rsidR="00BB5895" w:rsidRPr="001D3E64" w:rsidRDefault="00BB5895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Independent ambulation with or without a walking stick prior to admission, n (%)</w:t>
            </w:r>
          </w:p>
        </w:tc>
        <w:tc>
          <w:tcPr>
            <w:tcW w:w="1418" w:type="dxa"/>
          </w:tcPr>
          <w:p w14:paraId="606326B1" w14:textId="77777777" w:rsidR="00BB5895" w:rsidRPr="001D3E64" w:rsidRDefault="00BB5895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101 (84)</w:t>
            </w:r>
          </w:p>
        </w:tc>
      </w:tr>
      <w:tr w:rsidR="00BB5895" w:rsidRPr="001D3E64" w14:paraId="7EA28A81" w14:textId="77777777" w:rsidTr="00D95215">
        <w:tc>
          <w:tcPr>
            <w:tcW w:w="8075" w:type="dxa"/>
          </w:tcPr>
          <w:p w14:paraId="1069547F" w14:textId="77777777" w:rsidR="00BB5895" w:rsidRPr="001D3E64" w:rsidRDefault="00BB5895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Non (never)-smoker, n (%)</w:t>
            </w:r>
          </w:p>
        </w:tc>
        <w:tc>
          <w:tcPr>
            <w:tcW w:w="1418" w:type="dxa"/>
          </w:tcPr>
          <w:p w14:paraId="33DB4994" w14:textId="77777777" w:rsidR="00BB5895" w:rsidRPr="001D3E64" w:rsidRDefault="00BB5895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35 (29)</w:t>
            </w:r>
          </w:p>
        </w:tc>
      </w:tr>
      <w:tr w:rsidR="00BB5895" w:rsidRPr="001D3E64" w14:paraId="18A10CB2" w14:textId="77777777" w:rsidTr="00D95215">
        <w:tc>
          <w:tcPr>
            <w:tcW w:w="8075" w:type="dxa"/>
          </w:tcPr>
          <w:p w14:paraId="3CA86B9A" w14:textId="77777777" w:rsidR="00BB5895" w:rsidRPr="001D3E64" w:rsidRDefault="00BB5895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Aboriginal or Torres Strait Islander</w:t>
            </w:r>
          </w:p>
        </w:tc>
        <w:tc>
          <w:tcPr>
            <w:tcW w:w="1418" w:type="dxa"/>
          </w:tcPr>
          <w:p w14:paraId="2434CCC9" w14:textId="77777777" w:rsidR="00BB5895" w:rsidRPr="001D3E64" w:rsidRDefault="00BB5895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8 (7)</w:t>
            </w:r>
          </w:p>
        </w:tc>
      </w:tr>
      <w:tr w:rsidR="00BB5895" w:rsidRPr="001D3E64" w14:paraId="43745DCC" w14:textId="77777777" w:rsidTr="00D95215">
        <w:tc>
          <w:tcPr>
            <w:tcW w:w="8075" w:type="dxa"/>
          </w:tcPr>
          <w:p w14:paraId="7570BBB0" w14:textId="77777777" w:rsidR="00BB5895" w:rsidRPr="001D3E64" w:rsidRDefault="00BB5895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Presence of a chronic respiratory comorbid condition, n (%)</w:t>
            </w:r>
          </w:p>
        </w:tc>
        <w:tc>
          <w:tcPr>
            <w:tcW w:w="1418" w:type="dxa"/>
          </w:tcPr>
          <w:p w14:paraId="00DD4388" w14:textId="77777777" w:rsidR="00BB5895" w:rsidRPr="001D3E64" w:rsidRDefault="00BB5895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53 (44)</w:t>
            </w:r>
          </w:p>
        </w:tc>
      </w:tr>
      <w:tr w:rsidR="00BB5895" w:rsidRPr="001D3E64" w14:paraId="34AECD1C" w14:textId="77777777" w:rsidTr="00D95215">
        <w:tc>
          <w:tcPr>
            <w:tcW w:w="8075" w:type="dxa"/>
          </w:tcPr>
          <w:p w14:paraId="623F2716" w14:textId="77777777" w:rsidR="00BB5895" w:rsidRPr="001D3E64" w:rsidRDefault="00BB5895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Presence of a cardiovascular comorbid condition, n (%)</w:t>
            </w:r>
          </w:p>
        </w:tc>
        <w:tc>
          <w:tcPr>
            <w:tcW w:w="1418" w:type="dxa"/>
          </w:tcPr>
          <w:p w14:paraId="2BCB6357" w14:textId="77777777" w:rsidR="00BB5895" w:rsidRPr="001D3E64" w:rsidRDefault="00BB5895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79 (65)</w:t>
            </w:r>
          </w:p>
        </w:tc>
      </w:tr>
      <w:tr w:rsidR="00BB5895" w:rsidRPr="001D3E64" w14:paraId="1126CBBD" w14:textId="77777777" w:rsidTr="00D95215">
        <w:tc>
          <w:tcPr>
            <w:tcW w:w="8075" w:type="dxa"/>
          </w:tcPr>
          <w:p w14:paraId="30FF701B" w14:textId="77777777" w:rsidR="00BB5895" w:rsidRPr="001D3E64" w:rsidRDefault="00BB5895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Presence of a metabolic condition, n (%)</w:t>
            </w:r>
          </w:p>
        </w:tc>
        <w:tc>
          <w:tcPr>
            <w:tcW w:w="1418" w:type="dxa"/>
          </w:tcPr>
          <w:p w14:paraId="527C99D8" w14:textId="77777777" w:rsidR="00BB5895" w:rsidRPr="001D3E64" w:rsidRDefault="00BB5895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61 (50)</w:t>
            </w:r>
          </w:p>
        </w:tc>
      </w:tr>
    </w:tbl>
    <w:p w14:paraId="1862C417" w14:textId="77777777" w:rsidR="00BB5895" w:rsidRPr="001D3E64" w:rsidRDefault="00BB5895" w:rsidP="00C64B92">
      <w:pPr>
        <w:spacing w:line="480" w:lineRule="auto"/>
        <w:rPr>
          <w:rFonts w:ascii="Times" w:hAnsi="Times" w:cs="Calibri"/>
          <w:color w:val="000000" w:themeColor="text1"/>
          <w:szCs w:val="22"/>
        </w:rPr>
      </w:pPr>
      <w:r w:rsidRPr="001D3E64">
        <w:rPr>
          <w:rFonts w:ascii="Times" w:hAnsi="Times"/>
        </w:rPr>
        <w:t>Data are expressed as mean ± SD, median [IQR] or n (Y%). CURB-65, Confusion Urea, Respiratory rate, Blood pressure, Age</w:t>
      </w:r>
      <w:r w:rsidRPr="001D3E64">
        <w:rPr>
          <w:rFonts w:ascii="Times" w:hAnsi="Times"/>
          <w:color w:val="000000" w:themeColor="text1"/>
        </w:rPr>
        <w:t xml:space="preserve"> </w:t>
      </w:r>
      <w:r w:rsidRPr="001D3E64">
        <w:rPr>
          <w:rFonts w:ascii="Times" w:hAnsi="Times" w:cs="Calibri"/>
          <w:color w:val="000000" w:themeColor="text1"/>
          <w:szCs w:val="22"/>
        </w:rPr>
        <w:t>≥ 65 score.</w:t>
      </w:r>
    </w:p>
    <w:p w14:paraId="459E4228" w14:textId="77777777" w:rsidR="00BB5895" w:rsidRPr="001D3E64" w:rsidRDefault="00BB5895" w:rsidP="00C64B92">
      <w:pPr>
        <w:pStyle w:val="EndNoteBibliography"/>
        <w:spacing w:line="480" w:lineRule="auto"/>
        <w:rPr>
          <w:rFonts w:ascii="Times" w:hAnsi="Times"/>
          <w:b/>
        </w:rPr>
        <w:sectPr w:rsidR="00BB5895" w:rsidRPr="001D3E64" w:rsidSect="00C84F3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4792EF54" w14:textId="409DB01E" w:rsidR="000C2167" w:rsidRPr="001D3E64" w:rsidRDefault="000C2167" w:rsidP="00C64B92">
      <w:pPr>
        <w:pStyle w:val="EndNoteBibliography"/>
        <w:spacing w:line="480" w:lineRule="auto"/>
        <w:rPr>
          <w:rFonts w:ascii="Times" w:hAnsi="Times"/>
        </w:rPr>
      </w:pPr>
      <w:r w:rsidRPr="001D3E64">
        <w:rPr>
          <w:rFonts w:ascii="Times" w:hAnsi="Times"/>
          <w:b/>
        </w:rPr>
        <w:lastRenderedPageBreak/>
        <w:t>S</w:t>
      </w:r>
      <w:r w:rsidR="003E40F1" w:rsidRPr="001D3E64">
        <w:rPr>
          <w:rFonts w:ascii="Times" w:hAnsi="Times"/>
          <w:b/>
        </w:rPr>
        <w:t>3</w:t>
      </w:r>
      <w:r w:rsidRPr="001D3E64">
        <w:rPr>
          <w:rFonts w:ascii="Times" w:hAnsi="Times"/>
          <w:b/>
        </w:rPr>
        <w:t>.</w:t>
      </w:r>
      <w:r w:rsidRPr="001D3E64">
        <w:rPr>
          <w:rFonts w:ascii="Times" w:hAnsi="Times"/>
        </w:rPr>
        <w:t xml:space="preserve"> </w:t>
      </w:r>
      <w:r w:rsidRPr="001D3E64">
        <w:rPr>
          <w:rFonts w:ascii="Times" w:hAnsi="Times"/>
          <w:b/>
        </w:rPr>
        <w:t>Characteristics of participants according to clinical frailty.</w:t>
      </w:r>
    </w:p>
    <w:p w14:paraId="6AF45616" w14:textId="77777777" w:rsidR="000C2167" w:rsidRPr="001D3E64" w:rsidRDefault="000C2167" w:rsidP="00C64B92">
      <w:pPr>
        <w:pStyle w:val="EndNoteBibliography"/>
        <w:spacing w:line="480" w:lineRule="auto"/>
        <w:rPr>
          <w:rFonts w:ascii="Times" w:hAnsi="Times"/>
        </w:rPr>
      </w:pPr>
    </w:p>
    <w:tbl>
      <w:tblPr>
        <w:tblStyle w:val="TableGrid"/>
        <w:tblW w:w="10234" w:type="dxa"/>
        <w:tblLook w:val="04A0" w:firstRow="1" w:lastRow="0" w:firstColumn="1" w:lastColumn="0" w:noHBand="0" w:noVBand="1"/>
      </w:tblPr>
      <w:tblGrid>
        <w:gridCol w:w="2438"/>
        <w:gridCol w:w="2853"/>
        <w:gridCol w:w="3384"/>
        <w:gridCol w:w="1559"/>
      </w:tblGrid>
      <w:tr w:rsidR="00830048" w:rsidRPr="001D3E64" w14:paraId="04D9521E" w14:textId="7A5AEF11" w:rsidTr="00FB44BF">
        <w:trPr>
          <w:trHeight w:val="2171"/>
        </w:trPr>
        <w:tc>
          <w:tcPr>
            <w:tcW w:w="2438" w:type="dxa"/>
          </w:tcPr>
          <w:p w14:paraId="3A976B66" w14:textId="77777777" w:rsidR="00FE237B" w:rsidRPr="001D3E64" w:rsidRDefault="00FE237B" w:rsidP="00C64B92">
            <w:pPr>
              <w:pStyle w:val="EndNoteBibliography"/>
              <w:spacing w:line="480" w:lineRule="auto"/>
              <w:rPr>
                <w:rFonts w:ascii="Times" w:hAnsi="Times"/>
                <w:b/>
              </w:rPr>
            </w:pPr>
            <w:r w:rsidRPr="001D3E64">
              <w:rPr>
                <w:rFonts w:ascii="Times" w:hAnsi="Times"/>
                <w:b/>
              </w:rPr>
              <w:t>Variable</w:t>
            </w:r>
          </w:p>
        </w:tc>
        <w:tc>
          <w:tcPr>
            <w:tcW w:w="2853" w:type="dxa"/>
          </w:tcPr>
          <w:p w14:paraId="5E0006FD" w14:textId="7C7A443D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‘</w:t>
            </w:r>
            <w:r w:rsidR="0070120F" w:rsidRPr="001D3E64">
              <w:rPr>
                <w:rFonts w:ascii="Times" w:hAnsi="Times"/>
              </w:rPr>
              <w:t>Frailty score &lt; 4’</w:t>
            </w:r>
          </w:p>
          <w:p w14:paraId="4218F712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(frailty scores of 1 to 3)</w:t>
            </w:r>
          </w:p>
          <w:p w14:paraId="52CB3B3D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N = 124</w:t>
            </w:r>
          </w:p>
        </w:tc>
        <w:tc>
          <w:tcPr>
            <w:tcW w:w="3384" w:type="dxa"/>
          </w:tcPr>
          <w:p w14:paraId="59AC7ADC" w14:textId="7998D41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‘</w:t>
            </w:r>
            <w:r w:rsidR="0070120F" w:rsidRPr="001D3E64">
              <w:rPr>
                <w:rFonts w:ascii="Times" w:hAnsi="Times"/>
              </w:rPr>
              <w:t xml:space="preserve">Frailty score </w:t>
            </w:r>
            <w:r w:rsidR="0070120F" w:rsidRPr="001D3E64">
              <w:rPr>
                <w:rFonts w:ascii="Times" w:hAnsi="Times"/>
                <w:color w:val="000000" w:themeColor="text1"/>
              </w:rPr>
              <w:t>≥ 4’</w:t>
            </w:r>
            <w:r w:rsidRPr="001D3E64">
              <w:rPr>
                <w:rFonts w:ascii="Times" w:hAnsi="Times"/>
              </w:rPr>
              <w:t xml:space="preserve"> </w:t>
            </w:r>
          </w:p>
          <w:p w14:paraId="48F232BF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(frailty scores of 4 to 7)</w:t>
            </w:r>
          </w:p>
          <w:p w14:paraId="0E91A7A6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  <w:b/>
              </w:rPr>
            </w:pPr>
            <w:r w:rsidRPr="001D3E64">
              <w:rPr>
                <w:rFonts w:ascii="Times" w:hAnsi="Times"/>
              </w:rPr>
              <w:t>N = 76</w:t>
            </w:r>
          </w:p>
        </w:tc>
        <w:tc>
          <w:tcPr>
            <w:tcW w:w="1559" w:type="dxa"/>
          </w:tcPr>
          <w:p w14:paraId="0D925A96" w14:textId="50E46111" w:rsidR="00FE237B" w:rsidRPr="001D3E64" w:rsidRDefault="00FE237B" w:rsidP="00FB44BF">
            <w:pPr>
              <w:rPr>
                <w:rFonts w:ascii="Times" w:hAnsi="Times"/>
                <w:lang w:val="en-US"/>
              </w:rPr>
            </w:pPr>
            <w:r w:rsidRPr="001D3E64">
              <w:rPr>
                <w:rFonts w:ascii="Times" w:hAnsi="Times"/>
                <w:lang w:val="en-US"/>
              </w:rPr>
              <w:t>p value</w:t>
            </w:r>
          </w:p>
        </w:tc>
      </w:tr>
      <w:tr w:rsidR="00830048" w:rsidRPr="001D3E64" w14:paraId="290C152F" w14:textId="42A9E643" w:rsidTr="00FB44BF">
        <w:trPr>
          <w:trHeight w:val="723"/>
        </w:trPr>
        <w:tc>
          <w:tcPr>
            <w:tcW w:w="2438" w:type="dxa"/>
          </w:tcPr>
          <w:p w14:paraId="202FEEF7" w14:textId="77777777" w:rsidR="00FE237B" w:rsidRPr="001D3E64" w:rsidRDefault="00FE237B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Age (</w:t>
            </w:r>
            <w:proofErr w:type="spellStart"/>
            <w:r w:rsidRPr="001D3E64">
              <w:rPr>
                <w:rFonts w:ascii="Times" w:hAnsi="Times"/>
              </w:rPr>
              <w:t>yr</w:t>
            </w:r>
            <w:proofErr w:type="spellEnd"/>
            <w:r w:rsidRPr="001D3E64">
              <w:rPr>
                <w:rFonts w:ascii="Times" w:hAnsi="Times"/>
              </w:rPr>
              <w:t>)</w:t>
            </w:r>
          </w:p>
        </w:tc>
        <w:tc>
          <w:tcPr>
            <w:tcW w:w="2853" w:type="dxa"/>
          </w:tcPr>
          <w:p w14:paraId="69EF37B2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59 ± 17</w:t>
            </w:r>
          </w:p>
        </w:tc>
        <w:tc>
          <w:tcPr>
            <w:tcW w:w="3384" w:type="dxa"/>
          </w:tcPr>
          <w:p w14:paraId="193889D3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79 ± 12</w:t>
            </w:r>
          </w:p>
        </w:tc>
        <w:tc>
          <w:tcPr>
            <w:tcW w:w="1559" w:type="dxa"/>
          </w:tcPr>
          <w:p w14:paraId="0AF373E8" w14:textId="6CE9050D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&lt; 0.01</w:t>
            </w:r>
          </w:p>
        </w:tc>
      </w:tr>
      <w:tr w:rsidR="00830048" w:rsidRPr="001D3E64" w14:paraId="60CB980B" w14:textId="38B23D69" w:rsidTr="00FB44BF">
        <w:trPr>
          <w:trHeight w:val="723"/>
        </w:trPr>
        <w:tc>
          <w:tcPr>
            <w:tcW w:w="2438" w:type="dxa"/>
          </w:tcPr>
          <w:p w14:paraId="4F956206" w14:textId="77777777" w:rsidR="00FE237B" w:rsidRPr="001D3E64" w:rsidRDefault="00FE237B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Males, n (%)</w:t>
            </w:r>
          </w:p>
        </w:tc>
        <w:tc>
          <w:tcPr>
            <w:tcW w:w="2853" w:type="dxa"/>
          </w:tcPr>
          <w:p w14:paraId="30DE51A1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89 (72)</w:t>
            </w:r>
          </w:p>
        </w:tc>
        <w:tc>
          <w:tcPr>
            <w:tcW w:w="3384" w:type="dxa"/>
          </w:tcPr>
          <w:p w14:paraId="5BEE51F9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40 (53)</w:t>
            </w:r>
          </w:p>
        </w:tc>
        <w:tc>
          <w:tcPr>
            <w:tcW w:w="1559" w:type="dxa"/>
          </w:tcPr>
          <w:p w14:paraId="28EAAC7A" w14:textId="6C644189" w:rsidR="00FE237B" w:rsidRPr="001D3E64" w:rsidRDefault="00FF74DA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0.01</w:t>
            </w:r>
          </w:p>
        </w:tc>
      </w:tr>
      <w:tr w:rsidR="00830048" w:rsidRPr="001D3E64" w14:paraId="0235B14F" w14:textId="4DE79B29" w:rsidTr="00FB44BF">
        <w:trPr>
          <w:trHeight w:val="723"/>
        </w:trPr>
        <w:tc>
          <w:tcPr>
            <w:tcW w:w="2438" w:type="dxa"/>
          </w:tcPr>
          <w:p w14:paraId="7D94CEFC" w14:textId="77777777" w:rsidR="00FE237B" w:rsidRPr="001D3E64" w:rsidRDefault="00FE237B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CURB-65</w:t>
            </w:r>
          </w:p>
        </w:tc>
        <w:tc>
          <w:tcPr>
            <w:tcW w:w="2853" w:type="dxa"/>
          </w:tcPr>
          <w:p w14:paraId="50D59674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1 [2]</w:t>
            </w:r>
          </w:p>
        </w:tc>
        <w:tc>
          <w:tcPr>
            <w:tcW w:w="3384" w:type="dxa"/>
          </w:tcPr>
          <w:p w14:paraId="2CF9B230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2 [1]</w:t>
            </w:r>
          </w:p>
        </w:tc>
        <w:tc>
          <w:tcPr>
            <w:tcW w:w="1559" w:type="dxa"/>
          </w:tcPr>
          <w:p w14:paraId="493861BD" w14:textId="4B3322E9" w:rsidR="00FE237B" w:rsidRPr="001D3E64" w:rsidRDefault="00FF74DA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0.12</w:t>
            </w:r>
          </w:p>
        </w:tc>
      </w:tr>
      <w:tr w:rsidR="00830048" w:rsidRPr="001D3E64" w14:paraId="22A2C068" w14:textId="130A7471" w:rsidTr="00FB44BF">
        <w:trPr>
          <w:trHeight w:val="2187"/>
        </w:trPr>
        <w:tc>
          <w:tcPr>
            <w:tcW w:w="2438" w:type="dxa"/>
          </w:tcPr>
          <w:p w14:paraId="60DFDD51" w14:textId="77777777" w:rsidR="00FE237B" w:rsidRPr="001D3E64" w:rsidRDefault="00FE237B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Previous independent ambulation with or without a walking stick, n (%)</w:t>
            </w:r>
          </w:p>
        </w:tc>
        <w:tc>
          <w:tcPr>
            <w:tcW w:w="2853" w:type="dxa"/>
          </w:tcPr>
          <w:p w14:paraId="073A606C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122 (98)</w:t>
            </w:r>
          </w:p>
        </w:tc>
        <w:tc>
          <w:tcPr>
            <w:tcW w:w="3384" w:type="dxa"/>
          </w:tcPr>
          <w:p w14:paraId="6591BA3E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43 (57)</w:t>
            </w:r>
          </w:p>
        </w:tc>
        <w:tc>
          <w:tcPr>
            <w:tcW w:w="1559" w:type="dxa"/>
          </w:tcPr>
          <w:p w14:paraId="1321D24B" w14:textId="0A6C80D5" w:rsidR="00FE237B" w:rsidRPr="001D3E64" w:rsidRDefault="00FF74DA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&lt; 0.01</w:t>
            </w:r>
          </w:p>
        </w:tc>
      </w:tr>
      <w:tr w:rsidR="00830048" w:rsidRPr="001D3E64" w14:paraId="08DB5713" w14:textId="138D466A" w:rsidTr="00FB44BF">
        <w:trPr>
          <w:trHeight w:val="723"/>
        </w:trPr>
        <w:tc>
          <w:tcPr>
            <w:tcW w:w="2438" w:type="dxa"/>
          </w:tcPr>
          <w:p w14:paraId="58BC0E20" w14:textId="77777777" w:rsidR="00FE237B" w:rsidRPr="001D3E64" w:rsidRDefault="00FE237B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Non-smoker, n (%)</w:t>
            </w:r>
          </w:p>
        </w:tc>
        <w:tc>
          <w:tcPr>
            <w:tcW w:w="2853" w:type="dxa"/>
          </w:tcPr>
          <w:p w14:paraId="4176D23E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41 (33)</w:t>
            </w:r>
          </w:p>
        </w:tc>
        <w:tc>
          <w:tcPr>
            <w:tcW w:w="3384" w:type="dxa"/>
          </w:tcPr>
          <w:p w14:paraId="066C6E97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27 (36)</w:t>
            </w:r>
          </w:p>
        </w:tc>
        <w:tc>
          <w:tcPr>
            <w:tcW w:w="1559" w:type="dxa"/>
          </w:tcPr>
          <w:p w14:paraId="2DD308B5" w14:textId="6B1BDD7B" w:rsidR="00FE237B" w:rsidRPr="001D3E64" w:rsidRDefault="000126E2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0.4</w:t>
            </w:r>
            <w:r w:rsidR="002702B5" w:rsidRPr="001D3E64">
              <w:rPr>
                <w:rFonts w:ascii="Times" w:hAnsi="Times"/>
              </w:rPr>
              <w:t>3</w:t>
            </w:r>
          </w:p>
        </w:tc>
      </w:tr>
      <w:tr w:rsidR="00830048" w:rsidRPr="001D3E64" w14:paraId="6A3335D2" w14:textId="1401C413" w:rsidTr="00FB44BF">
        <w:trPr>
          <w:trHeight w:val="762"/>
        </w:trPr>
        <w:tc>
          <w:tcPr>
            <w:tcW w:w="2438" w:type="dxa"/>
          </w:tcPr>
          <w:p w14:paraId="61A81A90" w14:textId="77777777" w:rsidR="00FE237B" w:rsidRPr="001D3E64" w:rsidRDefault="00FE237B" w:rsidP="00C64B92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Aboriginal or Torres Strait Islander, n (%)</w:t>
            </w:r>
          </w:p>
        </w:tc>
        <w:tc>
          <w:tcPr>
            <w:tcW w:w="2853" w:type="dxa"/>
          </w:tcPr>
          <w:p w14:paraId="090FFC07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16 (13)</w:t>
            </w:r>
          </w:p>
        </w:tc>
        <w:tc>
          <w:tcPr>
            <w:tcW w:w="3384" w:type="dxa"/>
          </w:tcPr>
          <w:p w14:paraId="454459BB" w14:textId="77777777" w:rsidR="00FE237B" w:rsidRPr="001D3E64" w:rsidRDefault="00FE237B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6 (8)</w:t>
            </w:r>
          </w:p>
        </w:tc>
        <w:tc>
          <w:tcPr>
            <w:tcW w:w="1559" w:type="dxa"/>
          </w:tcPr>
          <w:p w14:paraId="22CBC8D9" w14:textId="1C1E5088" w:rsidR="00FE237B" w:rsidRPr="001D3E64" w:rsidRDefault="00832C7E" w:rsidP="00C64B92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0.36</w:t>
            </w:r>
          </w:p>
        </w:tc>
      </w:tr>
      <w:tr w:rsidR="00363274" w:rsidRPr="001D3E64" w14:paraId="551C5F05" w14:textId="77777777" w:rsidTr="00FB44BF">
        <w:trPr>
          <w:trHeight w:val="636"/>
        </w:trPr>
        <w:tc>
          <w:tcPr>
            <w:tcW w:w="2438" w:type="dxa"/>
          </w:tcPr>
          <w:p w14:paraId="2653E906" w14:textId="4A5D7CB6" w:rsidR="00363274" w:rsidRPr="001D3E64" w:rsidRDefault="00363274" w:rsidP="00363274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LOS (days)</w:t>
            </w:r>
          </w:p>
        </w:tc>
        <w:tc>
          <w:tcPr>
            <w:tcW w:w="2853" w:type="dxa"/>
          </w:tcPr>
          <w:p w14:paraId="7C1F4266" w14:textId="7F86394A" w:rsidR="00363274" w:rsidRPr="001D3E64" w:rsidRDefault="00363274" w:rsidP="00363274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3 [3]</w:t>
            </w:r>
          </w:p>
        </w:tc>
        <w:tc>
          <w:tcPr>
            <w:tcW w:w="3384" w:type="dxa"/>
          </w:tcPr>
          <w:p w14:paraId="56433E3C" w14:textId="5B50D0A8" w:rsidR="00363274" w:rsidRPr="001D3E64" w:rsidRDefault="00363274" w:rsidP="00363274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5 [5]</w:t>
            </w:r>
          </w:p>
        </w:tc>
        <w:tc>
          <w:tcPr>
            <w:tcW w:w="1559" w:type="dxa"/>
          </w:tcPr>
          <w:p w14:paraId="6CB77550" w14:textId="61C43D88" w:rsidR="00363274" w:rsidRPr="001D3E64" w:rsidRDefault="00363274" w:rsidP="00363274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&lt; 0.01</w:t>
            </w:r>
          </w:p>
        </w:tc>
      </w:tr>
      <w:tr w:rsidR="00E5621D" w:rsidRPr="001D3E64" w14:paraId="58356F22" w14:textId="77777777" w:rsidTr="00FB44BF">
        <w:trPr>
          <w:trHeight w:val="986"/>
        </w:trPr>
        <w:tc>
          <w:tcPr>
            <w:tcW w:w="2438" w:type="dxa"/>
          </w:tcPr>
          <w:p w14:paraId="01A58788" w14:textId="7BF22BC4" w:rsidR="00E5621D" w:rsidRPr="001D3E64" w:rsidRDefault="00D64D04" w:rsidP="00363274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Inpatient m</w:t>
            </w:r>
            <w:r w:rsidR="00E5621D" w:rsidRPr="001D3E64">
              <w:rPr>
                <w:rFonts w:ascii="Times" w:hAnsi="Times"/>
              </w:rPr>
              <w:t>ortality, n (%)</w:t>
            </w:r>
          </w:p>
        </w:tc>
        <w:tc>
          <w:tcPr>
            <w:tcW w:w="2853" w:type="dxa"/>
          </w:tcPr>
          <w:p w14:paraId="464D22CE" w14:textId="13F7BCEE" w:rsidR="00E5621D" w:rsidRPr="001D3E64" w:rsidRDefault="00D64D04" w:rsidP="00363274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0 (0)</w:t>
            </w:r>
          </w:p>
        </w:tc>
        <w:tc>
          <w:tcPr>
            <w:tcW w:w="3384" w:type="dxa"/>
          </w:tcPr>
          <w:p w14:paraId="183D0DBC" w14:textId="66AE9077" w:rsidR="00E5621D" w:rsidRPr="001D3E64" w:rsidRDefault="004376FF" w:rsidP="00363274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4 (5)</w:t>
            </w:r>
          </w:p>
        </w:tc>
        <w:tc>
          <w:tcPr>
            <w:tcW w:w="1559" w:type="dxa"/>
          </w:tcPr>
          <w:p w14:paraId="79449C84" w14:textId="10F29DEB" w:rsidR="00E5621D" w:rsidRPr="001D3E64" w:rsidRDefault="00D91B73" w:rsidP="001D31E9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&lt; 0.01</w:t>
            </w:r>
          </w:p>
        </w:tc>
      </w:tr>
      <w:tr w:rsidR="007D79CE" w:rsidRPr="001D3E64" w14:paraId="6E5217BD" w14:textId="77777777" w:rsidTr="00830048">
        <w:trPr>
          <w:trHeight w:val="1077"/>
        </w:trPr>
        <w:tc>
          <w:tcPr>
            <w:tcW w:w="2438" w:type="dxa"/>
          </w:tcPr>
          <w:p w14:paraId="47D19B62" w14:textId="3EEF3F91" w:rsidR="007D79CE" w:rsidRPr="001D3E64" w:rsidRDefault="007D79CE" w:rsidP="00363274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 xml:space="preserve">30-day GP presentations, n (%) </w:t>
            </w:r>
            <w:r w:rsidR="0046199F" w:rsidRPr="001D3E64">
              <w:rPr>
                <w:rFonts w:ascii="Times" w:hAnsi="Times"/>
              </w:rPr>
              <w:t>(</w:t>
            </w:r>
            <w:r w:rsidRPr="001D3E64">
              <w:rPr>
                <w:rFonts w:ascii="Times" w:hAnsi="Times"/>
              </w:rPr>
              <w:t>N = 144</w:t>
            </w:r>
            <w:r w:rsidR="0046199F" w:rsidRPr="001D3E64">
              <w:rPr>
                <w:rFonts w:ascii="Times" w:hAnsi="Times"/>
              </w:rPr>
              <w:t>)</w:t>
            </w:r>
          </w:p>
        </w:tc>
        <w:tc>
          <w:tcPr>
            <w:tcW w:w="2853" w:type="dxa"/>
          </w:tcPr>
          <w:p w14:paraId="4F42DC1D" w14:textId="1F752E47" w:rsidR="007D79CE" w:rsidRPr="001D3E64" w:rsidRDefault="007D79CE" w:rsidP="00363274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65 (76)</w:t>
            </w:r>
          </w:p>
        </w:tc>
        <w:tc>
          <w:tcPr>
            <w:tcW w:w="3384" w:type="dxa"/>
          </w:tcPr>
          <w:p w14:paraId="53031263" w14:textId="1109E434" w:rsidR="007D79CE" w:rsidRPr="001D3E64" w:rsidRDefault="007D79CE" w:rsidP="00363274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47 (81)</w:t>
            </w:r>
          </w:p>
        </w:tc>
        <w:tc>
          <w:tcPr>
            <w:tcW w:w="1559" w:type="dxa"/>
          </w:tcPr>
          <w:p w14:paraId="37E52F3D" w14:textId="3D4D8473" w:rsidR="007D79CE" w:rsidRPr="001D3E64" w:rsidRDefault="007D79CE" w:rsidP="00363274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0.29</w:t>
            </w:r>
          </w:p>
        </w:tc>
      </w:tr>
      <w:tr w:rsidR="0046199F" w:rsidRPr="001D3E64" w14:paraId="78553751" w14:textId="77777777" w:rsidTr="00830048">
        <w:trPr>
          <w:trHeight w:val="1077"/>
        </w:trPr>
        <w:tc>
          <w:tcPr>
            <w:tcW w:w="2438" w:type="dxa"/>
          </w:tcPr>
          <w:p w14:paraId="2C725684" w14:textId="7AC092FF" w:rsidR="0046199F" w:rsidRPr="001D3E64" w:rsidRDefault="0046199F" w:rsidP="00363274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  <w:lang w:val="en-GB"/>
              </w:rPr>
              <w:lastRenderedPageBreak/>
              <w:t>30-day ED presentations, n (%) (N = 145)</w:t>
            </w:r>
          </w:p>
        </w:tc>
        <w:tc>
          <w:tcPr>
            <w:tcW w:w="2853" w:type="dxa"/>
          </w:tcPr>
          <w:p w14:paraId="396DBE13" w14:textId="41D1942A" w:rsidR="0046199F" w:rsidRPr="001D3E64" w:rsidRDefault="0046199F" w:rsidP="00363274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8 (9)</w:t>
            </w:r>
          </w:p>
        </w:tc>
        <w:tc>
          <w:tcPr>
            <w:tcW w:w="3384" w:type="dxa"/>
          </w:tcPr>
          <w:p w14:paraId="4221BA9D" w14:textId="63030153" w:rsidR="0046199F" w:rsidRPr="001D3E64" w:rsidRDefault="0046199F" w:rsidP="00363274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12 (21)</w:t>
            </w:r>
          </w:p>
        </w:tc>
        <w:tc>
          <w:tcPr>
            <w:tcW w:w="1559" w:type="dxa"/>
          </w:tcPr>
          <w:p w14:paraId="2300FF77" w14:textId="6407F5B2" w:rsidR="0046199F" w:rsidRPr="001D3E64" w:rsidRDefault="0046199F" w:rsidP="00363274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0.35</w:t>
            </w:r>
          </w:p>
        </w:tc>
      </w:tr>
      <w:tr w:rsidR="0046199F" w:rsidRPr="001D3E64" w14:paraId="393E2724" w14:textId="77777777" w:rsidTr="00830048">
        <w:trPr>
          <w:trHeight w:val="1077"/>
        </w:trPr>
        <w:tc>
          <w:tcPr>
            <w:tcW w:w="2438" w:type="dxa"/>
          </w:tcPr>
          <w:p w14:paraId="6EF6F5EE" w14:textId="7155B682" w:rsidR="0046199F" w:rsidRPr="001D3E64" w:rsidRDefault="0046199F" w:rsidP="0046199F">
            <w:pPr>
              <w:pStyle w:val="EndNoteBibliography"/>
              <w:spacing w:line="480" w:lineRule="auto"/>
              <w:rPr>
                <w:rFonts w:ascii="Times" w:hAnsi="Times"/>
                <w:lang w:val="en-GB"/>
              </w:rPr>
            </w:pPr>
            <w:r w:rsidRPr="001D3E64">
              <w:rPr>
                <w:rFonts w:ascii="Times" w:hAnsi="Times"/>
              </w:rPr>
              <w:t>30-day readmissions, n (%) (N = 147)</w:t>
            </w:r>
          </w:p>
        </w:tc>
        <w:tc>
          <w:tcPr>
            <w:tcW w:w="2853" w:type="dxa"/>
          </w:tcPr>
          <w:p w14:paraId="13459304" w14:textId="00479A2F" w:rsidR="0046199F" w:rsidRPr="001D3E64" w:rsidRDefault="0046199F" w:rsidP="0046199F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9 (10)</w:t>
            </w:r>
          </w:p>
        </w:tc>
        <w:tc>
          <w:tcPr>
            <w:tcW w:w="3384" w:type="dxa"/>
          </w:tcPr>
          <w:p w14:paraId="6F25B520" w14:textId="55F2A16A" w:rsidR="0046199F" w:rsidRPr="001D3E64" w:rsidRDefault="0046199F" w:rsidP="0046199F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13 (22)</w:t>
            </w:r>
          </w:p>
        </w:tc>
        <w:tc>
          <w:tcPr>
            <w:tcW w:w="1559" w:type="dxa"/>
          </w:tcPr>
          <w:p w14:paraId="14A28111" w14:textId="46A0F173" w:rsidR="0046199F" w:rsidRPr="001D3E64" w:rsidRDefault="0046199F" w:rsidP="0046199F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&lt; 0.01</w:t>
            </w:r>
          </w:p>
        </w:tc>
      </w:tr>
      <w:tr w:rsidR="0046199F" w:rsidRPr="001D3E64" w14:paraId="1B4D3341" w14:textId="77777777" w:rsidTr="00FB44BF">
        <w:trPr>
          <w:trHeight w:val="1077"/>
        </w:trPr>
        <w:tc>
          <w:tcPr>
            <w:tcW w:w="2438" w:type="dxa"/>
          </w:tcPr>
          <w:p w14:paraId="6C43780C" w14:textId="24E715EC" w:rsidR="0046199F" w:rsidRPr="001D3E64" w:rsidRDefault="0046199F" w:rsidP="0046199F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30-day mortality, n (%) (N = 151)</w:t>
            </w:r>
          </w:p>
        </w:tc>
        <w:tc>
          <w:tcPr>
            <w:tcW w:w="2853" w:type="dxa"/>
          </w:tcPr>
          <w:p w14:paraId="73614996" w14:textId="5EABA68E" w:rsidR="0046199F" w:rsidRPr="001D3E64" w:rsidRDefault="0046199F" w:rsidP="0046199F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0 (0)</w:t>
            </w:r>
          </w:p>
        </w:tc>
        <w:tc>
          <w:tcPr>
            <w:tcW w:w="3384" w:type="dxa"/>
          </w:tcPr>
          <w:p w14:paraId="7650E89D" w14:textId="394A164C" w:rsidR="0046199F" w:rsidRPr="001D3E64" w:rsidRDefault="0046199F" w:rsidP="0046199F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3 (5)</w:t>
            </w:r>
          </w:p>
        </w:tc>
        <w:tc>
          <w:tcPr>
            <w:tcW w:w="1559" w:type="dxa"/>
          </w:tcPr>
          <w:p w14:paraId="18F8C93F" w14:textId="12895FAF" w:rsidR="0046199F" w:rsidRPr="001D3E64" w:rsidRDefault="0046199F" w:rsidP="0046199F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&lt; 0.01</w:t>
            </w:r>
          </w:p>
        </w:tc>
      </w:tr>
      <w:tr w:rsidR="0046199F" w:rsidRPr="001D3E64" w14:paraId="56E9D583" w14:textId="7EE4EC4B" w:rsidTr="00FB44BF">
        <w:trPr>
          <w:trHeight w:val="1134"/>
        </w:trPr>
        <w:tc>
          <w:tcPr>
            <w:tcW w:w="2438" w:type="dxa"/>
          </w:tcPr>
          <w:p w14:paraId="49A49FCA" w14:textId="77777777" w:rsidR="0046199F" w:rsidRPr="001D3E64" w:rsidRDefault="0046199F" w:rsidP="0046199F">
            <w:pPr>
              <w:pStyle w:val="EndNoteBibliography"/>
              <w:spacing w:line="480" w:lineRule="auto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Average daily step count (N = 121)</w:t>
            </w:r>
          </w:p>
        </w:tc>
        <w:tc>
          <w:tcPr>
            <w:tcW w:w="2853" w:type="dxa"/>
          </w:tcPr>
          <w:p w14:paraId="4B92F4CE" w14:textId="77777777" w:rsidR="0046199F" w:rsidRPr="001D3E64" w:rsidRDefault="0046199F" w:rsidP="0046199F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1201 [1355] steps</w:t>
            </w:r>
          </w:p>
        </w:tc>
        <w:tc>
          <w:tcPr>
            <w:tcW w:w="3384" w:type="dxa"/>
          </w:tcPr>
          <w:p w14:paraId="5FC6564E" w14:textId="77777777" w:rsidR="0046199F" w:rsidRPr="001D3E64" w:rsidRDefault="0046199F" w:rsidP="0046199F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516 [751]</w:t>
            </w:r>
          </w:p>
        </w:tc>
        <w:tc>
          <w:tcPr>
            <w:tcW w:w="1559" w:type="dxa"/>
          </w:tcPr>
          <w:p w14:paraId="2F49F3AE" w14:textId="2860E538" w:rsidR="0046199F" w:rsidRPr="001D3E64" w:rsidRDefault="0046199F" w:rsidP="0046199F">
            <w:pPr>
              <w:pStyle w:val="EndNoteBibliography"/>
              <w:spacing w:line="480" w:lineRule="auto"/>
              <w:jc w:val="center"/>
              <w:rPr>
                <w:rFonts w:ascii="Times" w:hAnsi="Times"/>
              </w:rPr>
            </w:pPr>
            <w:r w:rsidRPr="001D3E64">
              <w:rPr>
                <w:rFonts w:ascii="Times" w:hAnsi="Times"/>
              </w:rPr>
              <w:t>0.14</w:t>
            </w:r>
          </w:p>
        </w:tc>
      </w:tr>
    </w:tbl>
    <w:p w14:paraId="28A243AB" w14:textId="77777777" w:rsidR="006B15B2" w:rsidRPr="00FB44BF" w:rsidRDefault="000C2167" w:rsidP="00C64B92">
      <w:pPr>
        <w:spacing w:line="480" w:lineRule="auto"/>
        <w:rPr>
          <w:rFonts w:ascii="Times" w:hAnsi="Times"/>
        </w:rPr>
        <w:sectPr w:rsidR="006B15B2" w:rsidRPr="00FB44BF" w:rsidSect="00C84F3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1D3E64">
        <w:rPr>
          <w:rFonts w:ascii="Times" w:hAnsi="Times"/>
        </w:rPr>
        <w:t xml:space="preserve">Data are expressed as mean ± SD or median [IQR] unless otherwise stated. </w:t>
      </w:r>
      <w:proofErr w:type="spellStart"/>
      <w:r w:rsidRPr="001D3E64">
        <w:rPr>
          <w:rFonts w:ascii="Times" w:hAnsi="Times"/>
        </w:rPr>
        <w:t>yr</w:t>
      </w:r>
      <w:proofErr w:type="spellEnd"/>
      <w:r w:rsidRPr="001D3E64">
        <w:rPr>
          <w:rFonts w:ascii="Times" w:hAnsi="Times"/>
        </w:rPr>
        <w:t>, year; CURB-65, Confusion Urea, Respiratory rate, Blood pressure, Age</w:t>
      </w:r>
      <w:r w:rsidRPr="001D3E64">
        <w:rPr>
          <w:rFonts w:ascii="Times" w:hAnsi="Times"/>
          <w:color w:val="000000" w:themeColor="text1"/>
        </w:rPr>
        <w:t xml:space="preserve"> </w:t>
      </w:r>
      <w:r w:rsidRPr="001D3E64">
        <w:rPr>
          <w:rFonts w:ascii="Times" w:hAnsi="Times" w:cs="Calibri"/>
          <w:color w:val="000000" w:themeColor="text1"/>
          <w:szCs w:val="22"/>
        </w:rPr>
        <w:t>≥ 65 score</w:t>
      </w:r>
      <w:r w:rsidR="00B54D01" w:rsidRPr="001D3E64">
        <w:rPr>
          <w:rFonts w:ascii="Times" w:hAnsi="Times" w:cs="Calibri"/>
          <w:color w:val="000000" w:themeColor="text1"/>
          <w:szCs w:val="22"/>
        </w:rPr>
        <w:t>; LOS: Length of stay</w:t>
      </w:r>
      <w:r w:rsidRPr="001D3E64">
        <w:rPr>
          <w:rFonts w:ascii="Times" w:hAnsi="Times" w:cs="Calibri"/>
          <w:color w:val="000000" w:themeColor="text1"/>
          <w:szCs w:val="22"/>
        </w:rPr>
        <w:t>.</w:t>
      </w:r>
      <w:r w:rsidRPr="00FB44BF">
        <w:rPr>
          <w:rFonts w:ascii="Times" w:hAnsi="Times"/>
        </w:rPr>
        <w:t xml:space="preserve"> </w:t>
      </w:r>
    </w:p>
    <w:p w14:paraId="4AC59056" w14:textId="574E42F1" w:rsidR="006B15B2" w:rsidRPr="00FB44BF" w:rsidRDefault="006B15B2" w:rsidP="00C64B92">
      <w:pPr>
        <w:spacing w:line="480" w:lineRule="auto"/>
        <w:rPr>
          <w:rFonts w:ascii="Times" w:hAnsi="Times"/>
        </w:rPr>
      </w:pPr>
      <w:r w:rsidRPr="001D3E64">
        <w:rPr>
          <w:rFonts w:ascii="Times" w:hAnsi="Times"/>
          <w:b/>
          <w:color w:val="000000" w:themeColor="text1"/>
        </w:rPr>
        <w:lastRenderedPageBreak/>
        <w:t>References</w:t>
      </w:r>
    </w:p>
    <w:p w14:paraId="598A2433" w14:textId="77777777" w:rsidR="001D3E64" w:rsidRPr="00FB44BF" w:rsidRDefault="006B15B2" w:rsidP="00FB44BF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FB44BF">
        <w:rPr>
          <w:rFonts w:ascii="Times" w:hAnsi="Times"/>
        </w:rPr>
        <w:fldChar w:fldCharType="begin"/>
      </w:r>
      <w:r w:rsidRPr="00FB44BF">
        <w:rPr>
          <w:rFonts w:ascii="Times" w:hAnsi="Times"/>
        </w:rPr>
        <w:instrText xml:space="preserve"> ADDIN EN.REFLIST </w:instrText>
      </w:r>
      <w:r w:rsidRPr="00FB44BF">
        <w:rPr>
          <w:rFonts w:ascii="Times" w:hAnsi="Times"/>
        </w:rPr>
        <w:fldChar w:fldCharType="separate"/>
      </w:r>
      <w:r w:rsidR="001D3E64" w:rsidRPr="00FB44BF">
        <w:rPr>
          <w:rFonts w:ascii="Times" w:hAnsi="Times"/>
          <w:noProof/>
        </w:rPr>
        <w:t>1.</w:t>
      </w:r>
      <w:r w:rsidR="001D3E64" w:rsidRPr="00FB44BF">
        <w:rPr>
          <w:rFonts w:ascii="Times" w:hAnsi="Times"/>
          <w:noProof/>
        </w:rPr>
        <w:tab/>
        <w:t>Ebell MH. Outpatient vs. inpatient treatment of community acquired pneumonia. Fam Pract Manag 2006;13(4):41-44.</w:t>
      </w:r>
    </w:p>
    <w:p w14:paraId="14927CEF" w14:textId="77777777" w:rsidR="001D3E64" w:rsidRPr="00FB44BF" w:rsidRDefault="001D3E64" w:rsidP="00FB44BF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FB44BF">
        <w:rPr>
          <w:rFonts w:ascii="Times" w:hAnsi="Times"/>
          <w:noProof/>
        </w:rPr>
        <w:t>2.</w:t>
      </w:r>
      <w:r w:rsidRPr="00FB44BF">
        <w:rPr>
          <w:rFonts w:ascii="Times" w:hAnsi="Times"/>
          <w:noProof/>
        </w:rPr>
        <w:tab/>
        <w:t>Aujesky D, Auble TE, Yealy DM, Stone RA, Obrosky DS, Meehan TP, et al. Prospective comparison of three validated prediction rules for prognosis in community-acquired pneumonia. Am J Med 2005;118(4):384-392.</w:t>
      </w:r>
    </w:p>
    <w:p w14:paraId="7427AC87" w14:textId="77777777" w:rsidR="001D3E64" w:rsidRPr="00FB44BF" w:rsidRDefault="001D3E64" w:rsidP="00FB44BF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FB44BF">
        <w:rPr>
          <w:rFonts w:ascii="Times" w:hAnsi="Times"/>
          <w:noProof/>
        </w:rPr>
        <w:t>3.</w:t>
      </w:r>
      <w:r w:rsidRPr="00FB44BF">
        <w:rPr>
          <w:rFonts w:ascii="Times" w:hAnsi="Times"/>
          <w:noProof/>
        </w:rPr>
        <w:tab/>
        <w:t>Lim WS, van der Eerden MM, Laing R, Boersma W, Karalus N, Town GI, et al. Defining community acquired pneumonia severity on presentation to hospital: an international derivation and validation study. Thorax 2003;58(5):377-382.</w:t>
      </w:r>
    </w:p>
    <w:p w14:paraId="35DEBFB4" w14:textId="77777777" w:rsidR="001D3E64" w:rsidRPr="00FB44BF" w:rsidRDefault="001D3E64" w:rsidP="00FB44BF">
      <w:pPr>
        <w:pStyle w:val="EndNoteBibliography"/>
        <w:spacing w:line="480" w:lineRule="auto"/>
        <w:ind w:left="720" w:hanging="720"/>
        <w:rPr>
          <w:rFonts w:ascii="Times" w:hAnsi="Times"/>
          <w:noProof/>
        </w:rPr>
      </w:pPr>
      <w:r w:rsidRPr="00FB44BF">
        <w:rPr>
          <w:rFonts w:ascii="Times" w:hAnsi="Times"/>
          <w:noProof/>
        </w:rPr>
        <w:t>4.</w:t>
      </w:r>
      <w:r w:rsidRPr="00FB44BF">
        <w:rPr>
          <w:rFonts w:ascii="Times" w:hAnsi="Times"/>
          <w:noProof/>
        </w:rPr>
        <w:tab/>
        <w:t>British Thoracic Society. BTS Guidelines for the Management of Community Acquired Pneumonia in Adults. Thorax 2001;56 Suppl 4:Iv1-64.</w:t>
      </w:r>
    </w:p>
    <w:p w14:paraId="1244DCFE" w14:textId="4C9221D3" w:rsidR="004F06D3" w:rsidRDefault="006B15B2" w:rsidP="001D3E64">
      <w:pPr>
        <w:spacing w:line="480" w:lineRule="auto"/>
        <w:rPr>
          <w:rFonts w:ascii="Times" w:hAnsi="Times"/>
        </w:rPr>
      </w:pPr>
      <w:r w:rsidRPr="00FB44BF">
        <w:rPr>
          <w:rFonts w:ascii="Times" w:hAnsi="Times"/>
        </w:rPr>
        <w:fldChar w:fldCharType="end"/>
      </w:r>
    </w:p>
    <w:p w14:paraId="1D287259" w14:textId="33B779E1" w:rsidR="00FB44BF" w:rsidRDefault="00FB44BF" w:rsidP="00FB44BF">
      <w:pPr>
        <w:rPr>
          <w:rFonts w:ascii="Times" w:hAnsi="Times"/>
        </w:rPr>
      </w:pPr>
    </w:p>
    <w:p w14:paraId="20CB7366" w14:textId="3816CE8C" w:rsidR="00FB44BF" w:rsidRPr="00FB44BF" w:rsidRDefault="00FB44BF" w:rsidP="00FB44BF">
      <w:pPr>
        <w:tabs>
          <w:tab w:val="left" w:pos="3720"/>
        </w:tabs>
        <w:rPr>
          <w:rFonts w:ascii="Times" w:hAnsi="Times"/>
        </w:rPr>
      </w:pPr>
      <w:r>
        <w:rPr>
          <w:rFonts w:ascii="Times" w:hAnsi="Times"/>
        </w:rPr>
        <w:tab/>
      </w:r>
    </w:p>
    <w:sectPr w:rsidR="00FB44BF" w:rsidRPr="00FB44BF" w:rsidSect="00C84F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D55CA" w14:textId="77777777" w:rsidR="00ED37A2" w:rsidRDefault="00ED37A2" w:rsidP="000C2167">
      <w:r>
        <w:separator/>
      </w:r>
    </w:p>
  </w:endnote>
  <w:endnote w:type="continuationSeparator" w:id="0">
    <w:p w14:paraId="29967B7A" w14:textId="77777777" w:rsidR="00ED37A2" w:rsidRDefault="00ED37A2" w:rsidP="000C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3717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1401F" w14:textId="6CD3EB55" w:rsidR="000C2167" w:rsidRDefault="000C2167" w:rsidP="009744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52966A" w14:textId="77777777" w:rsidR="000C2167" w:rsidRDefault="000C2167" w:rsidP="000C2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0595127"/>
      <w:docPartObj>
        <w:docPartGallery w:val="Page Numbers (Bottom of Page)"/>
        <w:docPartUnique/>
      </w:docPartObj>
    </w:sdtPr>
    <w:sdtEndPr>
      <w:rPr>
        <w:rStyle w:val="PageNumber"/>
        <w:rFonts w:ascii="Times" w:hAnsi="Times"/>
      </w:rPr>
    </w:sdtEndPr>
    <w:sdtContent>
      <w:p w14:paraId="60F6D978" w14:textId="5C97CE03" w:rsidR="000C2167" w:rsidRPr="000C2167" w:rsidRDefault="000C2167" w:rsidP="00974420">
        <w:pPr>
          <w:pStyle w:val="Footer"/>
          <w:framePr w:wrap="none" w:vAnchor="text" w:hAnchor="margin" w:xAlign="right" w:y="1"/>
          <w:rPr>
            <w:rStyle w:val="PageNumber"/>
            <w:rFonts w:ascii="Times" w:hAnsi="Times"/>
          </w:rPr>
        </w:pPr>
        <w:r w:rsidRPr="000C2167">
          <w:rPr>
            <w:rStyle w:val="PageNumber"/>
            <w:rFonts w:ascii="Times" w:hAnsi="Times"/>
          </w:rPr>
          <w:fldChar w:fldCharType="begin"/>
        </w:r>
        <w:r w:rsidRPr="000C2167">
          <w:rPr>
            <w:rStyle w:val="PageNumber"/>
            <w:rFonts w:ascii="Times" w:hAnsi="Times"/>
          </w:rPr>
          <w:instrText xml:space="preserve"> PAGE </w:instrText>
        </w:r>
        <w:r w:rsidRPr="000C2167">
          <w:rPr>
            <w:rStyle w:val="PageNumber"/>
            <w:rFonts w:ascii="Times" w:hAnsi="Times"/>
          </w:rPr>
          <w:fldChar w:fldCharType="separate"/>
        </w:r>
        <w:r w:rsidRPr="000C2167">
          <w:rPr>
            <w:rStyle w:val="PageNumber"/>
            <w:rFonts w:ascii="Times" w:hAnsi="Times"/>
            <w:noProof/>
          </w:rPr>
          <w:t>1</w:t>
        </w:r>
        <w:r w:rsidRPr="000C2167">
          <w:rPr>
            <w:rStyle w:val="PageNumber"/>
            <w:rFonts w:ascii="Times" w:hAnsi="Times"/>
          </w:rPr>
          <w:fldChar w:fldCharType="end"/>
        </w:r>
      </w:p>
    </w:sdtContent>
  </w:sdt>
  <w:p w14:paraId="04B2F893" w14:textId="77777777" w:rsidR="000C2167" w:rsidRDefault="000C2167" w:rsidP="000C2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29F15" w14:textId="77777777" w:rsidR="00ED37A2" w:rsidRDefault="00ED37A2" w:rsidP="000C2167">
      <w:r>
        <w:separator/>
      </w:r>
    </w:p>
  </w:footnote>
  <w:footnote w:type="continuationSeparator" w:id="0">
    <w:p w14:paraId="6D6E518D" w14:textId="77777777" w:rsidR="00ED37A2" w:rsidRDefault="00ED37A2" w:rsidP="000C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7BE8"/>
    <w:multiLevelType w:val="hybridMultilevel"/>
    <w:tmpl w:val="7A0A6832"/>
    <w:lvl w:ilvl="0" w:tplc="542A445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806EF"/>
    <w:multiLevelType w:val="multilevel"/>
    <w:tmpl w:val="553691AA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DDD79B2"/>
    <w:multiLevelType w:val="hybridMultilevel"/>
    <w:tmpl w:val="530C7208"/>
    <w:lvl w:ilvl="0" w:tplc="AAC244C2">
      <w:start w:val="1"/>
      <w:numFmt w:val="lowerLetter"/>
      <w:lvlText w:val="%1."/>
      <w:lvlJc w:val="left"/>
      <w:pPr>
        <w:ind w:left="360" w:hanging="360"/>
      </w:pPr>
      <w:rPr>
        <w:rFonts w:ascii="Times" w:hAnsi="Times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7079B5"/>
    <w:multiLevelType w:val="hybridMultilevel"/>
    <w:tmpl w:val="B99C4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Respiratory Car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pr2rd5af9s0pee5syvtdw2a09dsp9t0ww2&quot;&gt;My EndNote Library&lt;record-ids&gt;&lt;item&gt;40063&lt;/item&gt;&lt;item&gt;47156&lt;/item&gt;&lt;item&gt;47173&lt;/item&gt;&lt;item&gt;47334&lt;/item&gt;&lt;/record-ids&gt;&lt;/item&gt;&lt;/Libraries&gt;"/>
  </w:docVars>
  <w:rsids>
    <w:rsidRoot w:val="000C2167"/>
    <w:rsid w:val="00003C7B"/>
    <w:rsid w:val="000126E2"/>
    <w:rsid w:val="00037E85"/>
    <w:rsid w:val="00042B1D"/>
    <w:rsid w:val="00063CAD"/>
    <w:rsid w:val="000706B1"/>
    <w:rsid w:val="000754B9"/>
    <w:rsid w:val="00077792"/>
    <w:rsid w:val="000A28D3"/>
    <w:rsid w:val="000A3A6C"/>
    <w:rsid w:val="000A7B0D"/>
    <w:rsid w:val="000C2167"/>
    <w:rsid w:val="000C6065"/>
    <w:rsid w:val="000E3C41"/>
    <w:rsid w:val="000F2A38"/>
    <w:rsid w:val="00107EE6"/>
    <w:rsid w:val="001327D0"/>
    <w:rsid w:val="00146DE0"/>
    <w:rsid w:val="001526DD"/>
    <w:rsid w:val="00166F2A"/>
    <w:rsid w:val="00182D96"/>
    <w:rsid w:val="001D31E9"/>
    <w:rsid w:val="001D3E64"/>
    <w:rsid w:val="001D42C6"/>
    <w:rsid w:val="002702B5"/>
    <w:rsid w:val="002B798D"/>
    <w:rsid w:val="002D00A2"/>
    <w:rsid w:val="002F477C"/>
    <w:rsid w:val="00302E70"/>
    <w:rsid w:val="0036087E"/>
    <w:rsid w:val="00363274"/>
    <w:rsid w:val="0036707B"/>
    <w:rsid w:val="003A09A1"/>
    <w:rsid w:val="003C4DC6"/>
    <w:rsid w:val="003E40F1"/>
    <w:rsid w:val="003F78AD"/>
    <w:rsid w:val="004376FF"/>
    <w:rsid w:val="00446900"/>
    <w:rsid w:val="0045317D"/>
    <w:rsid w:val="00457A53"/>
    <w:rsid w:val="0046199F"/>
    <w:rsid w:val="00486C5D"/>
    <w:rsid w:val="004B22AB"/>
    <w:rsid w:val="004F06D3"/>
    <w:rsid w:val="004F12E6"/>
    <w:rsid w:val="005064D2"/>
    <w:rsid w:val="005352CE"/>
    <w:rsid w:val="00542221"/>
    <w:rsid w:val="005608FA"/>
    <w:rsid w:val="005743AA"/>
    <w:rsid w:val="00587F6A"/>
    <w:rsid w:val="00594164"/>
    <w:rsid w:val="005B4A40"/>
    <w:rsid w:val="005F4077"/>
    <w:rsid w:val="006064D2"/>
    <w:rsid w:val="0063424C"/>
    <w:rsid w:val="00647B4B"/>
    <w:rsid w:val="00656C79"/>
    <w:rsid w:val="00675B62"/>
    <w:rsid w:val="00690E42"/>
    <w:rsid w:val="006B15B2"/>
    <w:rsid w:val="006F01E0"/>
    <w:rsid w:val="0070120F"/>
    <w:rsid w:val="00752DB1"/>
    <w:rsid w:val="00753BE9"/>
    <w:rsid w:val="0075467D"/>
    <w:rsid w:val="00767C7D"/>
    <w:rsid w:val="00790E36"/>
    <w:rsid w:val="007D79CE"/>
    <w:rsid w:val="007F4DE9"/>
    <w:rsid w:val="0081260A"/>
    <w:rsid w:val="00823F1F"/>
    <w:rsid w:val="00830048"/>
    <w:rsid w:val="00832C7E"/>
    <w:rsid w:val="0089030D"/>
    <w:rsid w:val="008B4993"/>
    <w:rsid w:val="008C7785"/>
    <w:rsid w:val="008D320F"/>
    <w:rsid w:val="008E63E6"/>
    <w:rsid w:val="009001B9"/>
    <w:rsid w:val="00902202"/>
    <w:rsid w:val="00911639"/>
    <w:rsid w:val="00923125"/>
    <w:rsid w:val="00925C87"/>
    <w:rsid w:val="00925F9D"/>
    <w:rsid w:val="00926C6A"/>
    <w:rsid w:val="00927142"/>
    <w:rsid w:val="00952093"/>
    <w:rsid w:val="009937D5"/>
    <w:rsid w:val="009A0A06"/>
    <w:rsid w:val="009C7CA1"/>
    <w:rsid w:val="00A209AA"/>
    <w:rsid w:val="00A21E89"/>
    <w:rsid w:val="00A243F0"/>
    <w:rsid w:val="00A52454"/>
    <w:rsid w:val="00A80E7C"/>
    <w:rsid w:val="00A9187F"/>
    <w:rsid w:val="00A929B0"/>
    <w:rsid w:val="00AA6A43"/>
    <w:rsid w:val="00AE521D"/>
    <w:rsid w:val="00B03022"/>
    <w:rsid w:val="00B54D01"/>
    <w:rsid w:val="00B565CD"/>
    <w:rsid w:val="00B63814"/>
    <w:rsid w:val="00B86080"/>
    <w:rsid w:val="00B90973"/>
    <w:rsid w:val="00B91AE5"/>
    <w:rsid w:val="00B925EC"/>
    <w:rsid w:val="00BB5895"/>
    <w:rsid w:val="00BC507C"/>
    <w:rsid w:val="00BE05B6"/>
    <w:rsid w:val="00BE0ABA"/>
    <w:rsid w:val="00C076F8"/>
    <w:rsid w:val="00C153A5"/>
    <w:rsid w:val="00C452EA"/>
    <w:rsid w:val="00C64B92"/>
    <w:rsid w:val="00C84F3F"/>
    <w:rsid w:val="00C904F2"/>
    <w:rsid w:val="00CA2A76"/>
    <w:rsid w:val="00CB1B42"/>
    <w:rsid w:val="00CB52E9"/>
    <w:rsid w:val="00CE5183"/>
    <w:rsid w:val="00CF5FD5"/>
    <w:rsid w:val="00D042EF"/>
    <w:rsid w:val="00D64D04"/>
    <w:rsid w:val="00D91B73"/>
    <w:rsid w:val="00DA225A"/>
    <w:rsid w:val="00DA27A2"/>
    <w:rsid w:val="00DB101B"/>
    <w:rsid w:val="00DB75C2"/>
    <w:rsid w:val="00DC424D"/>
    <w:rsid w:val="00E12159"/>
    <w:rsid w:val="00E14266"/>
    <w:rsid w:val="00E16571"/>
    <w:rsid w:val="00E17B98"/>
    <w:rsid w:val="00E45905"/>
    <w:rsid w:val="00E5621D"/>
    <w:rsid w:val="00E90528"/>
    <w:rsid w:val="00E92293"/>
    <w:rsid w:val="00EA13B5"/>
    <w:rsid w:val="00EB5339"/>
    <w:rsid w:val="00EB7207"/>
    <w:rsid w:val="00EC10AD"/>
    <w:rsid w:val="00ED37A2"/>
    <w:rsid w:val="00F30602"/>
    <w:rsid w:val="00F64F50"/>
    <w:rsid w:val="00F72205"/>
    <w:rsid w:val="00F85DBF"/>
    <w:rsid w:val="00FB44BF"/>
    <w:rsid w:val="00FC6B41"/>
    <w:rsid w:val="00FE237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4FAC6"/>
  <w14:defaultImageDpi w14:val="32767"/>
  <w15:chartTrackingRefBased/>
  <w15:docId w15:val="{A77C3D2A-0D64-ED44-97FB-B5FBF01B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2167"/>
  </w:style>
  <w:style w:type="paragraph" w:styleId="Heading1">
    <w:name w:val="heading 1"/>
    <w:basedOn w:val="Normal"/>
    <w:next w:val="Normal"/>
    <w:link w:val="Heading1Char"/>
    <w:uiPriority w:val="9"/>
    <w:qFormat/>
    <w:rsid w:val="000A3A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79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aliases w:val="Heading 4Lit review"/>
    <w:basedOn w:val="Heading3"/>
    <w:next w:val="Normal"/>
    <w:link w:val="Heading4Char"/>
    <w:uiPriority w:val="9"/>
    <w:unhideWhenUsed/>
    <w:qFormat/>
    <w:rsid w:val="002B798D"/>
    <w:pPr>
      <w:numPr>
        <w:numId w:val="2"/>
      </w:numPr>
      <w:spacing w:line="360" w:lineRule="auto"/>
      <w:ind w:left="1797" w:hanging="357"/>
      <w:outlineLvl w:val="3"/>
    </w:pPr>
    <w:rPr>
      <w:rFonts w:ascii="Times" w:hAnsi="Times"/>
      <w:iCs/>
      <w:color w:val="000000" w:themeColor="text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qFormat/>
    <w:rsid w:val="000A3A6C"/>
    <w:rPr>
      <w:rFonts w:ascii="Times" w:hAnsi="Times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3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aliases w:val="Heading 4Lit review Char"/>
    <w:basedOn w:val="DefaultParagraphFont"/>
    <w:link w:val="Heading4"/>
    <w:uiPriority w:val="9"/>
    <w:rsid w:val="002B798D"/>
    <w:rPr>
      <w:rFonts w:ascii="Times" w:eastAsiaTheme="majorEastAsia" w:hAnsi="Times" w:cstheme="majorBidi"/>
      <w:iCs/>
      <w:color w:val="000000" w:themeColor="text1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798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C21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1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0C2167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C2167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21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167"/>
  </w:style>
  <w:style w:type="character" w:styleId="PageNumber">
    <w:name w:val="page number"/>
    <w:basedOn w:val="DefaultParagraphFont"/>
    <w:uiPriority w:val="99"/>
    <w:semiHidden/>
    <w:unhideWhenUsed/>
    <w:rsid w:val="000C2167"/>
  </w:style>
  <w:style w:type="paragraph" w:styleId="Header">
    <w:name w:val="header"/>
    <w:basedOn w:val="Normal"/>
    <w:link w:val="HeaderChar"/>
    <w:uiPriority w:val="99"/>
    <w:unhideWhenUsed/>
    <w:rsid w:val="000C21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167"/>
  </w:style>
  <w:style w:type="paragraph" w:styleId="BalloonText">
    <w:name w:val="Balloon Text"/>
    <w:basedOn w:val="Normal"/>
    <w:link w:val="BalloonTextChar"/>
    <w:uiPriority w:val="99"/>
    <w:semiHidden/>
    <w:unhideWhenUsed/>
    <w:rsid w:val="00FE23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7B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B15B2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5B2"/>
    <w:rPr>
      <w:rFonts w:ascii="Calibri" w:hAnsi="Calibri" w:cs="Calibri"/>
      <w:lang w:val="en-US"/>
    </w:rPr>
  </w:style>
  <w:style w:type="paragraph" w:styleId="Revision">
    <w:name w:val="Revision"/>
    <w:hidden/>
    <w:uiPriority w:val="99"/>
    <w:semiHidden/>
    <w:rsid w:val="001D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Hill@curti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Rice</dc:creator>
  <cp:keywords/>
  <dc:description/>
  <cp:lastModifiedBy>Dean Hess</cp:lastModifiedBy>
  <cp:revision>2</cp:revision>
  <dcterms:created xsi:type="dcterms:W3CDTF">2020-04-07T18:00:00Z</dcterms:created>
  <dcterms:modified xsi:type="dcterms:W3CDTF">2020-04-07T18:00:00Z</dcterms:modified>
</cp:coreProperties>
</file>