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F025" w14:textId="1EDFC581" w:rsidR="0059056C" w:rsidRPr="00497631" w:rsidRDefault="00AD4C6A" w:rsidP="00AD4C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7631">
        <w:rPr>
          <w:rFonts w:ascii="Times" w:hAnsi="Times"/>
          <w:b/>
          <w:bCs/>
          <w:sz w:val="24"/>
          <w:szCs w:val="24"/>
          <w:lang w:val="en-US"/>
        </w:rPr>
        <w:t xml:space="preserve">One-Year Follow Up of Noninvasive Ventilation in Ordinary Wards: </w:t>
      </w:r>
      <w:proofErr w:type="gramStart"/>
      <w:r w:rsidRPr="00497631">
        <w:rPr>
          <w:rFonts w:ascii="Times" w:hAnsi="Times"/>
          <w:b/>
          <w:bCs/>
          <w:sz w:val="24"/>
          <w:szCs w:val="24"/>
          <w:lang w:val="en-US"/>
        </w:rPr>
        <w:t>a</w:t>
      </w:r>
      <w:proofErr w:type="gramEnd"/>
      <w:r w:rsidRPr="00497631">
        <w:rPr>
          <w:rFonts w:ascii="Times" w:hAnsi="Times"/>
          <w:b/>
          <w:bCs/>
          <w:sz w:val="24"/>
          <w:szCs w:val="24"/>
          <w:lang w:val="en-US"/>
        </w:rPr>
        <w:t xml:space="preserve"> Single Centre Observational Study</w:t>
      </w:r>
    </w:p>
    <w:p w14:paraId="5CA7FD57" w14:textId="5F79CD86" w:rsidR="00AB1053" w:rsidRPr="008B54A2" w:rsidRDefault="00AB1053" w:rsidP="00AB1053">
      <w:pPr>
        <w:pStyle w:val="NormaleWeb"/>
        <w:spacing w:line="480" w:lineRule="auto"/>
        <w:jc w:val="center"/>
        <w:rPr>
          <w:b/>
          <w:bCs/>
          <w:lang w:val="en-US"/>
        </w:rPr>
      </w:pPr>
      <w:r w:rsidRPr="008B54A2">
        <w:rPr>
          <w:b/>
          <w:bCs/>
          <w:lang w:val="en-US"/>
        </w:rPr>
        <w:t>RESULTS</w:t>
      </w:r>
    </w:p>
    <w:p w14:paraId="19BC9A4F" w14:textId="69E483D6" w:rsidR="00FE5F0D" w:rsidRPr="008B54A2" w:rsidRDefault="00FE5F0D" w:rsidP="00AB105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>Acute respiratory failure (ARF) diagnosis</w:t>
      </w:r>
    </w:p>
    <w:p w14:paraId="370DDA82" w14:textId="11014B18" w:rsidR="00FE5F0D" w:rsidRPr="008B54A2" w:rsidRDefault="00FE0626" w:rsidP="00AB105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FE5F0D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included in the category of ARF diagnosis defined as others included: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pulmonary embolism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(n=4)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>acute respiratory distress syndrome (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ARDS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03D5" w:rsidRPr="008B54A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>n=1</w:t>
      </w:r>
      <w:r w:rsidR="00E103D5" w:rsidRPr="008B54A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, post operative ARF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(n=3</w:t>
      </w:r>
      <w:r w:rsidR="00E103D5" w:rsidRPr="008B54A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, pleural effusion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(n=14)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5A49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obstructive sleep apnea syndrome </w:t>
      </w:r>
      <w:r w:rsidR="00945A4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OSAS</w:t>
      </w:r>
      <w:r w:rsidR="00945A4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(n=2)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, thoracic trauma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(n=12)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, neuromuscular disease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(n=4)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, end-stage malignancy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(n=13)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>, pancreatitis</w:t>
      </w:r>
      <w:r w:rsidR="00205B2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</w:t>
      </w:r>
      <w:r w:rsidR="00A0645A" w:rsidRPr="008B54A2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645A" w:rsidRPr="008B54A2">
        <w:rPr>
          <w:rFonts w:ascii="Times New Roman" w:hAnsi="Times New Roman" w:cs="Times New Roman"/>
          <w:sz w:val="24"/>
          <w:szCs w:val="24"/>
          <w:lang w:val="en-US"/>
        </w:rPr>
        <w:t>interstitial lung disease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45A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(n=11), 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ARF in acute neurologic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A0645A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(n=3)</w:t>
      </w:r>
      <w:r w:rsidR="002271A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2CFBFAB" w14:textId="4848539D" w:rsidR="005F768B" w:rsidRPr="008B54A2" w:rsidRDefault="005F768B" w:rsidP="00AB105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>Comorbidities</w:t>
      </w:r>
    </w:p>
    <w:p w14:paraId="1716B199" w14:textId="43C6164B" w:rsidR="00AB1053" w:rsidRPr="008B54A2" w:rsidRDefault="00FE0626" w:rsidP="00AB10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F908E0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included in the category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of comorbidities</w:t>
      </w:r>
      <w:r w:rsidR="00F908E0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908E0" w:rsidRPr="008B54A2">
        <w:rPr>
          <w:rFonts w:ascii="Times New Roman" w:hAnsi="Times New Roman" w:cs="Times New Roman"/>
          <w:sz w:val="24"/>
          <w:szCs w:val="24"/>
          <w:lang w:val="en-US"/>
        </w:rPr>
        <w:t>others included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35 subjects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solid cancer, 11 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sepsis, 5 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cirrhosis, 8 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alcohol abus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e, </w:t>
      </w:r>
      <w:r w:rsidR="00AA1600" w:rsidRPr="008B54A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immunodepres</w:t>
      </w:r>
      <w:r w:rsidR="00890A54" w:rsidRPr="008B54A2">
        <w:rPr>
          <w:rFonts w:ascii="Times New Roman" w:hAnsi="Times New Roman" w:cs="Times New Roman"/>
          <w:sz w:val="24"/>
          <w:szCs w:val="24"/>
          <w:lang w:val="en-US"/>
        </w:rPr>
        <w:t>sion, 9 with</w:t>
      </w:r>
      <w:r w:rsidR="00945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053" w:rsidRPr="008B54A2">
        <w:rPr>
          <w:rFonts w:ascii="Times New Roman" w:hAnsi="Times New Roman" w:cs="Times New Roman"/>
          <w:sz w:val="24"/>
          <w:szCs w:val="24"/>
          <w:lang w:val="en-US"/>
        </w:rPr>
        <w:t>OSAS</w:t>
      </w:r>
      <w:r w:rsidR="00AA1600" w:rsidRPr="008B5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6DCC19" w14:textId="38794BA3" w:rsidR="005F768B" w:rsidRPr="008B54A2" w:rsidRDefault="00945A49" w:rsidP="00AB105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96032673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Intensive care unit (</w:t>
      </w:r>
      <w:r w:rsidR="005F768B"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>ICU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5F768B"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bookmarkEnd w:id="0"/>
      <w:r w:rsidR="005F768B"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>Admission</w:t>
      </w:r>
    </w:p>
    <w:p w14:paraId="52871B05" w14:textId="5A61DB3A" w:rsidR="00892223" w:rsidRPr="008B54A2" w:rsidRDefault="00892223" w:rsidP="008922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81/383 subjects (21%) required intensive care unit (ICU) admission during hospital stay of which 41 subjects after failing </w:t>
      </w:r>
      <w:bookmarkStart w:id="1" w:name="_Hlk96032645"/>
      <w:r w:rsidR="00945A49">
        <w:rPr>
          <w:rFonts w:ascii="Times New Roman" w:hAnsi="Times New Roman" w:cs="Times New Roman"/>
          <w:sz w:val="24"/>
          <w:szCs w:val="24"/>
          <w:lang w:val="en-US"/>
        </w:rPr>
        <w:t>noninvasive ventilation (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NIV</w:t>
      </w:r>
      <w:r w:rsidR="00945A4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started outside ICU, while the remaining 40 subjects continued NIV outside ICU after ICU discharge. Among those failing NIV, leading causes of failure were desaturation, </w:t>
      </w:r>
      <w:r w:rsidR="00DD33F0" w:rsidRPr="008B54A2">
        <w:rPr>
          <w:rFonts w:ascii="Times New Roman" w:hAnsi="Times New Roman" w:cs="Times New Roman"/>
          <w:sz w:val="24"/>
          <w:szCs w:val="24"/>
          <w:lang w:val="en-US"/>
        </w:rPr>
        <w:t>tachypnea,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and hemodynamic instability, in line with previous studies.</w:t>
      </w:r>
    </w:p>
    <w:p w14:paraId="3EBC2292" w14:textId="1F20AE60" w:rsidR="00892223" w:rsidRPr="008B54A2" w:rsidRDefault="00880965" w:rsidP="00DA72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At the logistic regression </w:t>
      </w:r>
      <w:r w:rsidR="005074FB" w:rsidRPr="008B54A2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3943AE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among the variables considered, i.e.,</w:t>
      </w:r>
      <w:r w:rsidR="00E00936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age, do-not-intubate (DNI) status, ARF diagnosis, gender, comorbidities</w:t>
      </w:r>
      <w:r w:rsidR="003943AE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0DC7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do-not-intubate status seems the only factor inversely </w:t>
      </w:r>
      <w:r w:rsidR="00ED696C" w:rsidRPr="008B54A2">
        <w:rPr>
          <w:rFonts w:ascii="Times New Roman" w:hAnsi="Times New Roman" w:cs="Times New Roman"/>
          <w:sz w:val="24"/>
          <w:szCs w:val="24"/>
          <w:lang w:val="en-US"/>
        </w:rPr>
        <w:t>associat</w:t>
      </w:r>
      <w:r w:rsidR="003E0DC7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6006F5" w:rsidRPr="008B54A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E0DC7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ICU transfer of subjects treated with NIV (</w:t>
      </w:r>
      <w:r w:rsidR="00CA7BBB"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A7BBB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= .004, Table 5S-A).</w:t>
      </w:r>
    </w:p>
    <w:p w14:paraId="31C1C4DC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872B3C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BBF576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6E5E43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F7D5AF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6DDE63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3247F0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EE07A1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C703CB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66C59D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B8652F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664602" w14:textId="0CE7B1CE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9CE947" w14:textId="77777777" w:rsidR="00AB770B" w:rsidRPr="008B54A2" w:rsidRDefault="00AB770B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155585" w14:textId="77777777" w:rsidR="006E3F43" w:rsidRPr="008B54A2" w:rsidRDefault="006E3F4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517C97" w14:textId="73989191" w:rsidR="00C42DF4" w:rsidRPr="008B54A2" w:rsidRDefault="00C42DF4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TABLES</w:t>
      </w:r>
    </w:p>
    <w:p w14:paraId="1B2233ED" w14:textId="77777777" w:rsidR="00747213" w:rsidRPr="008B54A2" w:rsidRDefault="00747213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Grigliatabella"/>
        <w:tblW w:w="11334" w:type="dxa"/>
        <w:jc w:val="center"/>
        <w:tblLook w:val="04A0" w:firstRow="1" w:lastRow="0" w:firstColumn="1" w:lastColumn="0" w:noHBand="0" w:noVBand="1"/>
      </w:tblPr>
      <w:tblGrid>
        <w:gridCol w:w="2671"/>
        <w:gridCol w:w="1587"/>
        <w:gridCol w:w="1587"/>
        <w:gridCol w:w="1587"/>
        <w:gridCol w:w="1587"/>
        <w:gridCol w:w="1587"/>
        <w:gridCol w:w="728"/>
      </w:tblGrid>
      <w:tr w:rsidR="008B54A2" w:rsidRPr="008B54A2" w14:paraId="5FE65F1C" w14:textId="77777777" w:rsidTr="001E16F4">
        <w:trPr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13239" w14:textId="77777777" w:rsidR="00B63C3C" w:rsidRPr="008B54A2" w:rsidRDefault="00B63C3C" w:rsidP="001E16F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Clinical and </w:t>
            </w:r>
            <w:proofErr w:type="spellStart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>demographic</w:t>
            </w:r>
            <w:proofErr w:type="spellEnd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>characteristics</w:t>
            </w:r>
            <w:proofErr w:type="spellEnd"/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26093DE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  <w:p w14:paraId="0E15795A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383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D3308" w14:textId="68EAC813" w:rsidR="00B63C3C" w:rsidRPr="008B54A2" w:rsidRDefault="00A17451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CPE</w:t>
            </w:r>
          </w:p>
          <w:p w14:paraId="08FBA2BC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128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EBE32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Pneumonia</w:t>
            </w:r>
          </w:p>
          <w:p w14:paraId="3CF34AF9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eastAsiaTheme="minorEastAsia" w:hAnsi="Times New Roman" w:cs="Times New Roman"/>
                <w:sz w:val="22"/>
                <w:szCs w:val="22"/>
              </w:rPr>
              <w:t>n = 99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FFEE2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COPD</w:t>
            </w:r>
          </w:p>
          <w:p w14:paraId="1B32086F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52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A461D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Others</w:t>
            </w:r>
          </w:p>
          <w:p w14:paraId="12E0C4CB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104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3EA55B2" w14:textId="77777777" w:rsidR="00B63C3C" w:rsidRPr="008B54A2" w:rsidRDefault="00B63C3C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8B54A2" w:rsidRPr="008B54A2" w14:paraId="1932F77D" w14:textId="77777777" w:rsidTr="001E16F4">
        <w:trPr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DBA006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Age, </w:t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years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median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(IQR)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B96BA6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79 (72-85)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79F26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81 (74-86)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57CB1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80 (69-86)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79D3DE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80 (73-86)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65CE28B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77 (70-84)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46BDE1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.43</w:t>
            </w:r>
          </w:p>
        </w:tc>
      </w:tr>
      <w:tr w:rsidR="008B54A2" w:rsidRPr="008B54A2" w14:paraId="452DC01F" w14:textId="77777777" w:rsidTr="001E16F4">
        <w:trPr>
          <w:jc w:val="center"/>
        </w:trPr>
        <w:tc>
          <w:tcPr>
            <w:tcW w:w="26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D2A8F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Gender, n (%)</w:t>
            </w:r>
          </w:p>
        </w:tc>
        <w:tc>
          <w:tcPr>
            <w:tcW w:w="8663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26699F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4A2" w:rsidRPr="008B54A2" w14:paraId="38EB5CC2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036DD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FB56857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218 (57)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D70CA5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69 (32)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</w:tcBorders>
          </w:tcPr>
          <w:p w14:paraId="7B0E50C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66 (30)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F3EBE55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26 (12)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518B871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57 (26)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068A0BE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.14</w:t>
            </w:r>
          </w:p>
        </w:tc>
      </w:tr>
      <w:tr w:rsidR="008B54A2" w:rsidRPr="008B54A2" w14:paraId="01D0AB22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52601C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  <w:proofErr w:type="spellEnd"/>
          </w:p>
        </w:tc>
        <w:tc>
          <w:tcPr>
            <w:tcW w:w="158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B3DDFA6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165 (43)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9B61A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59 (36)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</w:tcPr>
          <w:p w14:paraId="328BD245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33 (20)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</w:tcPr>
          <w:p w14:paraId="390E7E34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26 (16)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</w:tcPr>
          <w:p w14:paraId="7C0C6242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47 (28)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222883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.14</w:t>
            </w:r>
          </w:p>
        </w:tc>
      </w:tr>
      <w:tr w:rsidR="008B54A2" w:rsidRPr="008B54A2" w14:paraId="6AF12A30" w14:textId="77777777" w:rsidTr="001E16F4">
        <w:trPr>
          <w:jc w:val="center"/>
        </w:trPr>
        <w:tc>
          <w:tcPr>
            <w:tcW w:w="26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41E237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NIV treatment, n (%)</w:t>
            </w:r>
          </w:p>
        </w:tc>
        <w:tc>
          <w:tcPr>
            <w:tcW w:w="8663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901E8F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4A2" w:rsidRPr="008B54A2" w14:paraId="779FBAAD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EC7643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NPPV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A81C7E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136 (36)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FDDA68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24 (18)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54B68AF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21 (15)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8FBC5FC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48 (35)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DE7282B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43 (32)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7FCC85F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B54A2" w:rsidRPr="008B54A2" w14:paraId="5A007F4A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C97AB4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CPAP</w:t>
            </w:r>
          </w:p>
        </w:tc>
        <w:tc>
          <w:tcPr>
            <w:tcW w:w="158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D752EF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247 (64)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97C94A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104 (42)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121CF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78 (32)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EC83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 (1)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2AEB5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61 (25)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75245A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B54A2" w:rsidRPr="008B54A2" w14:paraId="37E82071" w14:textId="77777777" w:rsidTr="001E16F4">
        <w:trPr>
          <w:jc w:val="center"/>
        </w:trPr>
        <w:tc>
          <w:tcPr>
            <w:tcW w:w="26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0179E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Comorbidities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n (%)</w:t>
            </w:r>
          </w:p>
        </w:tc>
        <w:tc>
          <w:tcPr>
            <w:tcW w:w="8663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36EB27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4A2" w:rsidRPr="008B54A2" w14:paraId="2B16613D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3170C1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Cardiomyopathy</w:t>
            </w:r>
            <w:proofErr w:type="spellEnd"/>
          </w:p>
        </w:tc>
        <w:tc>
          <w:tcPr>
            <w:tcW w:w="1587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6BF96E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186 (49)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F0DAA6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89 (48)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A4F4D5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39 (21)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702A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28 (15)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DD122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30 (16)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51CC09F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B54A2" w:rsidRPr="008B54A2" w14:paraId="637730C8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9D33F5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Hypertension</w:t>
            </w:r>
            <w:proofErr w:type="spellEnd"/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6DDF0CD3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165 (43)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20FBFE27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63 (38)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7E51EF9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36 (22)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244E2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27 (16)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96CD7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39 (24)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D14CAB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</w:p>
        </w:tc>
      </w:tr>
      <w:tr w:rsidR="008B54A2" w:rsidRPr="008B54A2" w14:paraId="3D4CC2AA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761BD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Diabetes</w:t>
            </w:r>
            <w:proofErr w:type="spellEnd"/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408D7DE1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85 (22)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0F230213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31 (36)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4D134481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16 (19)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7EC24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14 (17)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B14C5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24 (28)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2088E6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.37</w:t>
            </w:r>
          </w:p>
        </w:tc>
      </w:tr>
      <w:tr w:rsidR="008B54A2" w:rsidRPr="008B54A2" w14:paraId="72942082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D4D025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Obesity</w:t>
            </w:r>
            <w:proofErr w:type="spellEnd"/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3341F3DC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48 (13)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0434FF4A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22 (46)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00326E7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 (17)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5522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11 (23)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D8A7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 (14)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0E5FFD3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</w:tr>
      <w:tr w:rsidR="008B54A2" w:rsidRPr="008B54A2" w14:paraId="7D22170E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019C8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Chronic</w:t>
            </w:r>
            <w:proofErr w:type="spellEnd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renal</w:t>
            </w:r>
            <w:proofErr w:type="spellEnd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failure</w:t>
            </w:r>
            <w:proofErr w:type="spellEnd"/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79D9DF8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65 (17)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36621285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30 (46)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6B6D3A2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14 (22)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DC396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8 (12)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5396C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13 (20)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F18953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</w:tr>
      <w:tr w:rsidR="008B54A2" w:rsidRPr="008B54A2" w14:paraId="1B311CDB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DB6262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Smoke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3E5A0B77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45 (12)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1F76A11C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15 (33)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250F7096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9 (20)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F3EC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11 (25)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07EE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10 (22)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0D01E8F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.13</w:t>
            </w:r>
          </w:p>
        </w:tc>
      </w:tr>
      <w:tr w:rsidR="008B54A2" w:rsidRPr="008B54A2" w14:paraId="65D22227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2CCD48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Hematologic</w:t>
            </w:r>
            <w:proofErr w:type="spellEnd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malignancy</w:t>
            </w:r>
            <w:proofErr w:type="spellEnd"/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3FCC273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27 (7)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160822B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 (15)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128D53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12 (45)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8A029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 (7)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4FE10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9 (33)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D439C5B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.044</w:t>
            </w:r>
          </w:p>
        </w:tc>
      </w:tr>
      <w:tr w:rsidR="008B54A2" w:rsidRPr="008B54A2" w14:paraId="4B05C345" w14:textId="77777777" w:rsidTr="001E16F4">
        <w:trPr>
          <w:jc w:val="center"/>
        </w:trPr>
        <w:tc>
          <w:tcPr>
            <w:tcW w:w="26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51CDE" w14:textId="77777777" w:rsidR="00B63C3C" w:rsidRPr="008B54A2" w:rsidRDefault="00B63C3C" w:rsidP="001E16F4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Long-</w:t>
            </w:r>
            <w:proofErr w:type="spellStart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term</w:t>
            </w:r>
            <w:proofErr w:type="spellEnd"/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 home NIV</w:t>
            </w:r>
          </w:p>
        </w:tc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14:paraId="2CE13D4D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9 (2)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57F985D8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5 (56)</w:t>
            </w:r>
          </w:p>
        </w:tc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14:paraId="1A908544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0 (0)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5345B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 (11)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658CF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 (33)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49B731" w14:textId="77777777" w:rsidR="00B63C3C" w:rsidRPr="008B54A2" w:rsidRDefault="00B63C3C" w:rsidP="001E16F4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.27</w:t>
            </w:r>
          </w:p>
        </w:tc>
      </w:tr>
      <w:tr w:rsidR="008B54A2" w:rsidRPr="008B54A2" w14:paraId="4FF17B82" w14:textId="77777777" w:rsidTr="003C6DA2">
        <w:trPr>
          <w:jc w:val="center"/>
        </w:trPr>
        <w:tc>
          <w:tcPr>
            <w:tcW w:w="26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20FA45" w14:textId="77777777" w:rsidR="00B63C3C" w:rsidRPr="008B54A2" w:rsidRDefault="00B63C3C" w:rsidP="003C6DA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</w:p>
        </w:tc>
        <w:tc>
          <w:tcPr>
            <w:tcW w:w="158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72DF87F" w14:textId="77777777" w:rsidR="00B63C3C" w:rsidRPr="008B54A2" w:rsidRDefault="00B63C3C" w:rsidP="003C6D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75 (20)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A2C1EF" w14:textId="77777777" w:rsidR="00B63C3C" w:rsidRPr="008B54A2" w:rsidRDefault="00B63C3C" w:rsidP="003C6D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14 (19)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F69E3A" w14:textId="77777777" w:rsidR="00B63C3C" w:rsidRPr="008B54A2" w:rsidRDefault="00B63C3C" w:rsidP="003C6D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30 (40)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0FDF2" w14:textId="77777777" w:rsidR="00B63C3C" w:rsidRPr="008B54A2" w:rsidRDefault="00B63C3C" w:rsidP="003C6D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9 (12)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15D0" w14:textId="77777777" w:rsidR="00B63C3C" w:rsidRPr="008B54A2" w:rsidRDefault="00B63C3C" w:rsidP="003C6D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22 (29)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40B1CA" w14:textId="77777777" w:rsidR="00B63C3C" w:rsidRPr="008B54A2" w:rsidRDefault="00B63C3C" w:rsidP="003C6DA2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</w:tr>
      <w:tr w:rsidR="003C6DA2" w:rsidRPr="008B54A2" w14:paraId="5FB3FAE1" w14:textId="77777777" w:rsidTr="003C6DA2">
        <w:trPr>
          <w:jc w:val="center"/>
        </w:trPr>
        <w:tc>
          <w:tcPr>
            <w:tcW w:w="26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CD38C" w14:textId="63D0A5BF" w:rsidR="003C6DA2" w:rsidRPr="008B54A2" w:rsidRDefault="003C6DA2" w:rsidP="003C6D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DNI status, n (%)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9C90AD" w14:textId="56736FB2" w:rsidR="003C6DA2" w:rsidRPr="008B54A2" w:rsidRDefault="003C6DA2" w:rsidP="003C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 (31)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6672F90" w14:textId="2590DB4E" w:rsidR="003C6DA2" w:rsidRPr="008B54A2" w:rsidRDefault="003C6DA2" w:rsidP="003C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30 (25)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F9884AD" w14:textId="4139F86E" w:rsidR="003C6DA2" w:rsidRPr="008B54A2" w:rsidRDefault="003C6DA2" w:rsidP="003C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38 (32)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26A0C3" w14:textId="67FC7D88" w:rsidR="003C6DA2" w:rsidRPr="008B54A2" w:rsidRDefault="003C6DA2" w:rsidP="003C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18 (15)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F2305C" w14:textId="5C68C7FC" w:rsidR="003C6DA2" w:rsidRPr="008B54A2" w:rsidRDefault="003C6DA2" w:rsidP="003C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34 (28)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5F2E3" w14:textId="3ACCF8DF" w:rsidR="003C6DA2" w:rsidRPr="008B54A2" w:rsidRDefault="003C6DA2" w:rsidP="003C6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</w:tr>
    </w:tbl>
    <w:p w14:paraId="5FDF4A5E" w14:textId="77777777" w:rsidR="00B63C3C" w:rsidRPr="008B54A2" w:rsidRDefault="00B63C3C" w:rsidP="00A1745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8CDD9A" w14:textId="06F5B554" w:rsidR="00B63C3C" w:rsidRPr="008B54A2" w:rsidRDefault="00B63C3C" w:rsidP="00A1745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1S.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Demographic and clinical characteristics of </w:t>
      </w:r>
      <w:r w:rsidR="00FE0626" w:rsidRPr="008B54A2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treated with NIV,</w:t>
      </w:r>
      <w:bookmarkStart w:id="2" w:name="_Hlk87717504"/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based on acute respiratory failure diagnosis. </w:t>
      </w:r>
      <w:bookmarkEnd w:id="2"/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Values are expressed as number and percentage or as median and interquartile range. </w:t>
      </w:r>
    </w:p>
    <w:p w14:paraId="6B1E2746" w14:textId="3B815EBA" w:rsidR="00194E5C" w:rsidRPr="008B54A2" w:rsidRDefault="00A17451" w:rsidP="00A1745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A49">
        <w:rPr>
          <w:rFonts w:ascii="Times New Roman" w:hAnsi="Times New Roman" w:cs="Times New Roman"/>
          <w:sz w:val="24"/>
          <w:szCs w:val="24"/>
          <w:lang w:val="en-US"/>
        </w:rPr>
        <w:t>CPE = cardiogenic pulmonary edema,</w:t>
      </w:r>
      <w:r w:rsidRPr="008B54A2">
        <w:rPr>
          <w:rFonts w:ascii="Times New Roman" w:hAnsi="Times New Roman" w:cs="Times New Roman"/>
          <w:lang w:val="en-US"/>
        </w:rPr>
        <w:t xml:space="preserve"> </w:t>
      </w:r>
      <w:r w:rsidR="00B63C3C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COPD = chronic obstructive pulmonary disease exacerbation, CPAP = continuous positive airway pressure, </w:t>
      </w:r>
      <w:r w:rsidR="003C308A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DNI = do-not-intubate, </w:t>
      </w:r>
      <w:r w:rsidR="00B63C3C" w:rsidRPr="008B54A2">
        <w:rPr>
          <w:rFonts w:ascii="Times New Roman" w:hAnsi="Times New Roman" w:cs="Times New Roman"/>
          <w:sz w:val="24"/>
          <w:szCs w:val="24"/>
          <w:lang w:val="en-US"/>
        </w:rPr>
        <w:t>IQR = interquartile range, n = number,</w:t>
      </w:r>
      <w:bookmarkStart w:id="3" w:name="_Hlk5745860"/>
      <w:bookmarkEnd w:id="3"/>
      <w:r w:rsidR="00B63C3C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NIV = noninvasive ventilation, NPPV = noninvasive positive pressure ventilation. </w:t>
      </w:r>
    </w:p>
    <w:p w14:paraId="160B63AC" w14:textId="77777777" w:rsidR="00194E5C" w:rsidRPr="008B54A2" w:rsidRDefault="00194E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66F9A04" w14:textId="77777777" w:rsidR="00B63C3C" w:rsidRPr="008B54A2" w:rsidRDefault="00B63C3C" w:rsidP="00B63C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10554" w:type="dxa"/>
        <w:jc w:val="center"/>
        <w:tblLook w:val="04A0" w:firstRow="1" w:lastRow="0" w:firstColumn="1" w:lastColumn="0" w:noHBand="0" w:noVBand="1"/>
      </w:tblPr>
      <w:tblGrid>
        <w:gridCol w:w="1893"/>
        <w:gridCol w:w="1587"/>
        <w:gridCol w:w="1587"/>
        <w:gridCol w:w="1587"/>
        <w:gridCol w:w="1587"/>
        <w:gridCol w:w="1587"/>
        <w:gridCol w:w="726"/>
      </w:tblGrid>
      <w:tr w:rsidR="008B54A2" w:rsidRPr="008B54A2" w14:paraId="5630C377" w14:textId="77777777" w:rsidTr="001E16F4">
        <w:trPr>
          <w:jc w:val="center"/>
        </w:trPr>
        <w:tc>
          <w:tcPr>
            <w:tcW w:w="18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BC4AC1" w14:textId="77777777" w:rsidR="004A1147" w:rsidRPr="008B54A2" w:rsidRDefault="004A1147" w:rsidP="001E16F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Baseline </w:t>
            </w:r>
            <w:proofErr w:type="spellStart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>laboratory</w:t>
            </w:r>
            <w:proofErr w:type="spellEnd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>values</w:t>
            </w:r>
            <w:proofErr w:type="spellEnd"/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78C99CB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  <w:p w14:paraId="27F4C5C2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383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3621D" w14:textId="1B516975" w:rsidR="004A1147" w:rsidRPr="008B54A2" w:rsidRDefault="00A17451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CPE</w:t>
            </w:r>
          </w:p>
          <w:p w14:paraId="3DE7ED0B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128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7D983D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Pneumonia</w:t>
            </w:r>
          </w:p>
          <w:p w14:paraId="3E461C73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99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E3BC6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COPD</w:t>
            </w:r>
          </w:p>
          <w:p w14:paraId="7707E628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52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57476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Others</w:t>
            </w:r>
          </w:p>
          <w:p w14:paraId="232183F3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104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7CFB3C7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8B54A2" w:rsidRPr="008B54A2" w14:paraId="5DC0AC9A" w14:textId="77777777" w:rsidTr="001E16F4">
        <w:trPr>
          <w:jc w:val="center"/>
        </w:trPr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C794D5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median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(IQR)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EA578B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7.39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(7.32-7.45)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159778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7.39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(7.33-7.44)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0A1E5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7.42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(7.34-7.46)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FBD15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7.32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(7.30-7.37)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5C83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7.41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(7.34-7.45)</w:t>
            </w:r>
          </w:p>
        </w:tc>
        <w:tc>
          <w:tcPr>
            <w:tcW w:w="7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8F9E81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.031</w:t>
            </w:r>
          </w:p>
        </w:tc>
      </w:tr>
      <w:tr w:rsidR="008B54A2" w:rsidRPr="008B54A2" w14:paraId="42975A81" w14:textId="77777777" w:rsidTr="001E16F4">
        <w:trPr>
          <w:jc w:val="center"/>
        </w:trPr>
        <w:tc>
          <w:tcPr>
            <w:tcW w:w="1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AA85CF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PaCO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GB"/>
              </w:rPr>
              <w:t>2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, mmHg,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FDC2552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41.6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(36.0-55.3)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90B3C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39.0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(34.4-47.4)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E807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38.0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(33.6-48.9)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20EA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69.5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(58.1-82.5)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9A8F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40.0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(36.0-48.7)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74B6D8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.07</w:t>
            </w:r>
          </w:p>
        </w:tc>
      </w:tr>
      <w:tr w:rsidR="008B54A2" w:rsidRPr="008B54A2" w14:paraId="6A2048FD" w14:textId="77777777" w:rsidTr="001E16F4">
        <w:trPr>
          <w:jc w:val="center"/>
        </w:trPr>
        <w:tc>
          <w:tcPr>
            <w:tcW w:w="1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77DF21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PaO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GB"/>
              </w:rPr>
              <w:t>2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, mmHg,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B7CDC7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60.0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(49.2-73.4)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5E2E7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60.0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(47.5-73.4)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AAAD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57.2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(49.6-68.8)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982FA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61.0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(46.2-72.5)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28E7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62.3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(53.0-84.0)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30E079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</w:p>
        </w:tc>
      </w:tr>
      <w:tr w:rsidR="008B54A2" w:rsidRPr="008B54A2" w14:paraId="457BD65B" w14:textId="77777777" w:rsidTr="001E16F4">
        <w:trPr>
          <w:jc w:val="center"/>
        </w:trPr>
        <w:tc>
          <w:tcPr>
            <w:tcW w:w="1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9CF33D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HCO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GB"/>
              </w:rPr>
              <w:t>3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-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mEq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/L,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72C697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25.9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(22.6-31.1)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7C3D7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24.6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(21.0-28.0)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80EA5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25.2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(22.5-30.0)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BFB2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36.6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(30.6-40.9)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DF8C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26.0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(23.0-30.4)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CECC2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</w:p>
        </w:tc>
      </w:tr>
      <w:tr w:rsidR="008B54A2" w:rsidRPr="008B54A2" w14:paraId="5E553A9F" w14:textId="77777777" w:rsidTr="001E16F4">
        <w:trPr>
          <w:jc w:val="center"/>
        </w:trPr>
        <w:tc>
          <w:tcPr>
            <w:tcW w:w="1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DB2C23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Lactate, </w:t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mMol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/L,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53914B5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1.3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(0.9-2.3)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DC1CF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1.5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(1.0-2.7)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15A27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1.5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(1.1-2.2)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C32D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0.6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(0.9-1.2)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7C73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1.4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(1.0-2.4)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E3342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</w:tr>
      <w:tr w:rsidR="008B54A2" w:rsidRPr="008B54A2" w14:paraId="0807578E" w14:textId="77777777" w:rsidTr="001E16F4">
        <w:trPr>
          <w:jc w:val="center"/>
        </w:trPr>
        <w:tc>
          <w:tcPr>
            <w:tcW w:w="18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B6E046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WBC, x10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/µL,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0C6903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11.0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(8.0-16.0)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98071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11.0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(8.0-14.0)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5E203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13.0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(7.0-17.0)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C7E4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11.0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(9.0-15.0)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661D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11.0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(8.0-17.0)</w:t>
            </w: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B5018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.004</w:t>
            </w:r>
          </w:p>
        </w:tc>
      </w:tr>
      <w:tr w:rsidR="008B54A2" w:rsidRPr="008B54A2" w14:paraId="61C206AF" w14:textId="77777777" w:rsidTr="001E16F4">
        <w:trPr>
          <w:jc w:val="center"/>
        </w:trPr>
        <w:tc>
          <w:tcPr>
            <w:tcW w:w="18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B6A413" w14:textId="77777777" w:rsidR="004A1147" w:rsidRPr="008B54A2" w:rsidRDefault="004A1147" w:rsidP="001E16F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Neutrophils, x10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/µL, 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5C13D4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9.0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(6.0-12.0)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988F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9.0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(6.0-11.0)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93FD4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9.5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(5.5-15.0)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293C4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8.5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(6.0-11.5)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8CC8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9.0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(6.0-13.0)</w:t>
            </w: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C4D8E7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.34</w:t>
            </w:r>
          </w:p>
        </w:tc>
      </w:tr>
      <w:tr w:rsidR="008B54A2" w:rsidRPr="008B54A2" w14:paraId="3C210262" w14:textId="77777777" w:rsidTr="001E16F4">
        <w:trPr>
          <w:jc w:val="center"/>
        </w:trPr>
        <w:tc>
          <w:tcPr>
            <w:tcW w:w="18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874FA6" w14:textId="77777777" w:rsidR="004A1147" w:rsidRPr="008B54A2" w:rsidRDefault="004A1147" w:rsidP="001E16F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Creatinine, mg/dL,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107789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1.00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(1.00-2.00)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AAC253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1.00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(1.00-2.00)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EDD932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1.00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(1.00-1.59)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3459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1.00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(0.71-1.39)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F046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1.00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(0.99-1.31)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AA08D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</w:tr>
      <w:tr w:rsidR="00C57B51" w:rsidRPr="008B54A2" w14:paraId="2E795198" w14:textId="77777777" w:rsidTr="001E16F4">
        <w:trPr>
          <w:jc w:val="center"/>
        </w:trPr>
        <w:tc>
          <w:tcPr>
            <w:tcW w:w="18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535E1" w14:textId="77777777" w:rsidR="004A1147" w:rsidRPr="008B54A2" w:rsidRDefault="004A1147" w:rsidP="001E16F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ALT, U/L,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D0CF22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(16-37)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57A70F63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(16-32)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F06201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(16-43)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0A8F29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(12-25)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23128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8B54A2">
              <w:rPr>
                <w:rFonts w:ascii="Times New Roman" w:hAnsi="Times New Roman" w:cs="Times New Roman"/>
                <w:sz w:val="18"/>
                <w:szCs w:val="18"/>
              </w:rPr>
              <w:t>(18-40)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B9253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.27</w:t>
            </w:r>
          </w:p>
        </w:tc>
      </w:tr>
    </w:tbl>
    <w:p w14:paraId="3954305C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1B15B0" w14:textId="77777777" w:rsidR="004A1147" w:rsidRPr="008B54A2" w:rsidRDefault="004A1147" w:rsidP="004A11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42767849"/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2S.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Laboratory values at the baseline, based on acute respiratory failure diagnosis. Values are expressed as median and interquartile range. </w:t>
      </w:r>
    </w:p>
    <w:p w14:paraId="5F1BE0FE" w14:textId="230F50CB" w:rsidR="004A1147" w:rsidRPr="008B54A2" w:rsidRDefault="004A1147" w:rsidP="004A11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ALT = alanine aminotransferase, </w:t>
      </w:r>
      <w:r w:rsidR="00A17451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CPE = cardiogenic pulmonary edema,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COPD = chronic obstructive pulmonary disease exacerbation, HCO</w:t>
      </w: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= bicarbonates, IQR = interquartile range, n = number, PaCO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470DC1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arterial partial pressure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of carbon dioxide, PaO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470DC1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arterial partial pressure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of oxygen. WBC = white blood cells.</w:t>
      </w:r>
    </w:p>
    <w:bookmarkEnd w:id="4"/>
    <w:p w14:paraId="54159C2A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9D8720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B6AC93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15A1C6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634100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830D14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C8AD7C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7E26E3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789432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6E4429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Grigliatabella"/>
        <w:tblW w:w="9354" w:type="dxa"/>
        <w:jc w:val="center"/>
        <w:tblLook w:val="04A0" w:firstRow="1" w:lastRow="0" w:firstColumn="1" w:lastColumn="0" w:noHBand="0" w:noVBand="1"/>
      </w:tblPr>
      <w:tblGrid>
        <w:gridCol w:w="2245"/>
        <w:gridCol w:w="2127"/>
        <w:gridCol w:w="2098"/>
        <w:gridCol w:w="2154"/>
        <w:gridCol w:w="730"/>
      </w:tblGrid>
      <w:tr w:rsidR="008B54A2" w:rsidRPr="008B54A2" w14:paraId="1719875A" w14:textId="77777777" w:rsidTr="001E16F4">
        <w:trPr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3EF5D3" w14:textId="77777777" w:rsidR="004A1147" w:rsidRPr="008B54A2" w:rsidRDefault="004A1147" w:rsidP="001E16F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Baseline </w:t>
            </w:r>
            <w:proofErr w:type="spellStart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>laboratory</w:t>
            </w:r>
            <w:proofErr w:type="spellEnd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B54A2">
              <w:rPr>
                <w:rFonts w:ascii="Times New Roman" w:hAnsi="Times New Roman" w:cs="Times New Roman"/>
                <w:b/>
                <w:sz w:val="22"/>
                <w:szCs w:val="22"/>
              </w:rPr>
              <w:t>values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6695E99" w14:textId="38F80ED7" w:rsidR="004A1147" w:rsidRPr="008B54A2" w:rsidRDefault="00945A49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  <w:p w14:paraId="135EB6E0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383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9A780E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Hypoxemic ARF</w:t>
            </w:r>
          </w:p>
          <w:p w14:paraId="47FC9245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n = 237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42B19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B54A2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>Hypercapnic</w:t>
            </w:r>
            <w:proofErr w:type="spellEnd"/>
            <w:r w:rsidRPr="008B54A2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  <w:t xml:space="preserve"> ARF</w:t>
            </w:r>
          </w:p>
          <w:p w14:paraId="4C76233E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eastAsiaTheme="minorEastAsia" w:hAnsi="Times New Roman" w:cs="Times New Roman"/>
                <w:sz w:val="22"/>
                <w:szCs w:val="22"/>
              </w:rPr>
              <w:t>n = 146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B32CE19" w14:textId="77777777" w:rsidR="004A1147" w:rsidRPr="008B54A2" w:rsidRDefault="004A1147" w:rsidP="001E16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8B54A2" w:rsidRPr="008B54A2" w14:paraId="4CDD928D" w14:textId="77777777" w:rsidTr="001E16F4">
        <w:trPr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6A3B52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median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(IQR)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B729867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7.39 (7.32-7.45)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4D5234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7.43 (7.37-7.47)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763D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7.32 (7.27-7.37)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9F005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B54A2" w:rsidRPr="008B54A2" w14:paraId="4772A7C0" w14:textId="77777777" w:rsidTr="001E16F4">
        <w:trPr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4C0FD9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PaCO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GB"/>
              </w:rPr>
              <w:t>2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, mmHg,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008F5D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41.6 (36.0-55.3)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CCE6D7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36.8 (33.0-39.7)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C0B1D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58.8 (50.1-72.2)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73D9A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&lt;.001</w:t>
            </w:r>
          </w:p>
        </w:tc>
      </w:tr>
      <w:tr w:rsidR="008B54A2" w:rsidRPr="008B54A2" w14:paraId="3D467F31" w14:textId="77777777" w:rsidTr="001E16F4">
        <w:trPr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9A4BCA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PaO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GB"/>
              </w:rPr>
              <w:t>2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, mmHg,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E5A5274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60.0 (49.2-73.4)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A36A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59.0 (50.0-73.5)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0ABD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59.5 (45.7-71.6)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BE4AC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.25</w:t>
            </w:r>
          </w:p>
        </w:tc>
      </w:tr>
      <w:tr w:rsidR="008B54A2" w:rsidRPr="008B54A2" w14:paraId="35DB5B0D" w14:textId="77777777" w:rsidTr="001E16F4">
        <w:trPr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8A53AA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HCO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bscript"/>
                <w:lang w:val="en-GB"/>
              </w:rPr>
              <w:t>3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-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mEq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/L,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9B88AE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25.9 (22.6-31.1)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B6B51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24.3 (21.0-27.0)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4CF02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31.8 (29.6-37.4)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A674C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</w:tr>
      <w:tr w:rsidR="008B54A2" w:rsidRPr="008B54A2" w14:paraId="513E99EE" w14:textId="77777777" w:rsidTr="001E16F4">
        <w:trPr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40CA41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Lactate, </w:t>
            </w:r>
            <w:proofErr w:type="spellStart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mMol</w:t>
            </w:r>
            <w:proofErr w:type="spellEnd"/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/L,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F9BF2DC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 (0.9-2.3)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C0B431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 (1.1-2.6)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DA692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 (0.7-1.9)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7C2905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.08</w:t>
            </w:r>
          </w:p>
        </w:tc>
      </w:tr>
      <w:tr w:rsidR="008B54A2" w:rsidRPr="008B54A2" w14:paraId="109F1F07" w14:textId="77777777" w:rsidTr="001E16F4">
        <w:trPr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A415A0" w14:textId="77777777" w:rsidR="004A1147" w:rsidRPr="008B54A2" w:rsidRDefault="004A1147" w:rsidP="001E16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WBC, x10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/µL,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6DE96F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 (8.0-16.0)</w:t>
            </w:r>
          </w:p>
        </w:tc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2FEB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 (8.0-17.0)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01882A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 (8.0-15.0)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D1B87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.07</w:t>
            </w:r>
          </w:p>
        </w:tc>
      </w:tr>
      <w:tr w:rsidR="008B54A2" w:rsidRPr="008B54A2" w14:paraId="25C9123F" w14:textId="77777777" w:rsidTr="001E16F4">
        <w:trPr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7608F0" w14:textId="77777777" w:rsidR="004A1147" w:rsidRPr="008B54A2" w:rsidRDefault="004A1147" w:rsidP="001E16F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Neutrophils, x10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en-GB"/>
              </w:rPr>
              <w:t>3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/µL, 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241BE46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9.0 (6.0-12.0)</w:t>
            </w:r>
          </w:p>
        </w:tc>
        <w:tc>
          <w:tcPr>
            <w:tcW w:w="20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2D4A29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10.0 (6.0-13.0)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2F2B8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8.5 (6.0-12.0)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A63EEF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.15</w:t>
            </w:r>
          </w:p>
        </w:tc>
      </w:tr>
      <w:tr w:rsidR="008B54A2" w:rsidRPr="008B54A2" w14:paraId="616C2A23" w14:textId="77777777" w:rsidTr="001E16F4">
        <w:trPr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CDAFF0" w14:textId="77777777" w:rsidR="004A1147" w:rsidRPr="008B54A2" w:rsidRDefault="004A1147" w:rsidP="001E16F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Creatinine, mg/dL,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6E354BE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 (1.00-2.00)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36CC9A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 (1.00-2.00)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53DFA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1.00 (0.82-1.61)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B8BE60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.16</w:t>
            </w:r>
          </w:p>
        </w:tc>
      </w:tr>
      <w:tr w:rsidR="00C57B51" w:rsidRPr="008B54A2" w14:paraId="70170974" w14:textId="77777777" w:rsidTr="001E16F4">
        <w:trPr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96293" w14:textId="77777777" w:rsidR="004A1147" w:rsidRPr="008B54A2" w:rsidRDefault="004A1147" w:rsidP="001E16F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ALT, U/L,</w:t>
            </w:r>
            <w:r w:rsidRPr="008B54A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br/>
              <w:t>median (IQR)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675D6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 (16-37)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877BEAB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 (17-42)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4DA7613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 (14-29)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0631D" w14:textId="77777777" w:rsidR="004A1147" w:rsidRPr="008B54A2" w:rsidRDefault="004A1147" w:rsidP="001E1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4A2">
              <w:rPr>
                <w:rFonts w:ascii="Times New Roman" w:hAnsi="Times New Roman" w:cs="Times New Roman"/>
                <w:sz w:val="22"/>
                <w:szCs w:val="22"/>
              </w:rPr>
              <w:t>.33</w:t>
            </w:r>
          </w:p>
        </w:tc>
      </w:tr>
    </w:tbl>
    <w:p w14:paraId="6F4E63EC" w14:textId="77777777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5C1D11" w14:textId="77777777" w:rsidR="004A1147" w:rsidRPr="008B54A2" w:rsidRDefault="004A1147" w:rsidP="004A11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3S.</w:t>
      </w:r>
      <w:r w:rsidRPr="008B54A2">
        <w:rPr>
          <w:sz w:val="24"/>
          <w:szCs w:val="24"/>
          <w:lang w:val="en-US"/>
        </w:rPr>
        <w:t xml:space="preserve">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Laboratory values at baseline, based on acute respiratory failure etiology. Values are expressed as median and interquartile range. </w:t>
      </w:r>
    </w:p>
    <w:p w14:paraId="0CD40BF1" w14:textId="1DE99AF3" w:rsidR="004A1147" w:rsidRPr="008B54A2" w:rsidRDefault="004A1147" w:rsidP="004A11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>ALT = alanine aminotransferase, ARF = acute respiratory failure, HCO</w:t>
      </w: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= bicarbonates, IQR = interquartile range, n = number, PaCO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470DC1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arterial partial pressure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of carbon dioxide, PaO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470DC1" w:rsidRPr="008B54A2">
        <w:rPr>
          <w:rFonts w:ascii="Times New Roman" w:hAnsi="Times New Roman" w:cs="Times New Roman"/>
          <w:sz w:val="24"/>
          <w:szCs w:val="24"/>
          <w:lang w:val="en-US"/>
        </w:rPr>
        <w:t>arterial partial pressure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of oxygen. WBC = white blood cells.</w:t>
      </w:r>
    </w:p>
    <w:p w14:paraId="5A3C70B0" w14:textId="1CCC8135" w:rsidR="00C42DF4" w:rsidRPr="008B54A2" w:rsidRDefault="00C42DF4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C85A0D3" w14:textId="5D779EEF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192066" w14:textId="4BFCC045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690164" w14:textId="69672980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AFFAFA" w14:textId="3B3C1CBE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276949" w14:textId="5EFEDB34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2C30E1" w14:textId="245C2386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CB81D9" w14:textId="03416E8D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Grigliatabella"/>
        <w:tblW w:w="9074" w:type="dxa"/>
        <w:jc w:val="center"/>
        <w:tblLook w:val="04A0" w:firstRow="1" w:lastRow="0" w:firstColumn="1" w:lastColumn="0" w:noHBand="0" w:noVBand="1"/>
      </w:tblPr>
      <w:tblGrid>
        <w:gridCol w:w="5128"/>
        <w:gridCol w:w="1417"/>
        <w:gridCol w:w="2529"/>
      </w:tblGrid>
      <w:tr w:rsidR="008B54A2" w:rsidRPr="008B54A2" w14:paraId="5E7FF7F2" w14:textId="77777777" w:rsidTr="00980661">
        <w:trPr>
          <w:trHeight w:val="386"/>
          <w:jc w:val="center"/>
        </w:trPr>
        <w:tc>
          <w:tcPr>
            <w:tcW w:w="5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CDECC" w14:textId="77777777" w:rsidR="00E22D5F" w:rsidRPr="008B54A2" w:rsidRDefault="00E22D5F" w:rsidP="00980661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5" w:name="_Hlk91679505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9C15EB" w14:textId="77777777" w:rsidR="00E22D5F" w:rsidRPr="008B54A2" w:rsidRDefault="00E22D5F" w:rsidP="00980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</w:rPr>
              <w:t>HR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1C219" w14:textId="77777777" w:rsidR="00E22D5F" w:rsidRPr="008B54A2" w:rsidRDefault="00E22D5F" w:rsidP="00980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  <w:lang w:val="en-GB"/>
              </w:rPr>
              <w:t>[95% CI]</w:t>
            </w:r>
          </w:p>
        </w:tc>
      </w:tr>
      <w:tr w:rsidR="008B54A2" w:rsidRPr="008B54A2" w14:paraId="20BA1E0C" w14:textId="77777777" w:rsidTr="00980661">
        <w:trPr>
          <w:trHeight w:val="386"/>
          <w:jc w:val="center"/>
        </w:trPr>
        <w:tc>
          <w:tcPr>
            <w:tcW w:w="5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7E7F6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6AC96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4BCF970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1.09-1.79</w:t>
            </w:r>
          </w:p>
        </w:tc>
      </w:tr>
      <w:tr w:rsidR="008B54A2" w:rsidRPr="008B54A2" w14:paraId="54C20604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7C77" w14:textId="4D175C9E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DNI status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§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5F6AD5C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56AE1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1.15-3.07</w:t>
            </w:r>
          </w:p>
        </w:tc>
      </w:tr>
      <w:tr w:rsidR="008B54A2" w:rsidRPr="008B54A2" w14:paraId="556E90BD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D9DD9" w14:textId="53894126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Pneumonia</w:t>
            </w:r>
            <w:r w:rsidR="00A71946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4D51DE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1.22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4A88CA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.61-2.46</w:t>
            </w:r>
          </w:p>
        </w:tc>
      </w:tr>
      <w:tr w:rsidR="008B54A2" w:rsidRPr="008B54A2" w14:paraId="7D637B18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376F5" w14:textId="53953F45" w:rsidR="00E22D5F" w:rsidRPr="008B54A2" w:rsidRDefault="00D80A51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</w:t>
            </w:r>
            <w:r w:rsidR="0030517D" w:rsidRPr="008B54A2">
              <w:rPr>
                <w:rFonts w:ascii="Times New Roman" w:hAnsi="Times New Roman" w:cs="Times New Roman"/>
                <w:lang w:val="en-US"/>
              </w:rPr>
              <w:t>ardiogenic pulmonary edema</w:t>
            </w:r>
            <w:r w:rsidR="00A71946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E755BE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.89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13178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.44-1.80</w:t>
            </w:r>
          </w:p>
        </w:tc>
      </w:tr>
      <w:tr w:rsidR="008B54A2" w:rsidRPr="008B54A2" w14:paraId="58D6315B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7631E4" w14:textId="1FA92C8F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Other ARF diagnosis</w:t>
            </w:r>
            <w:r w:rsidR="00A71946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64E082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1.21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58542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.58-2.52</w:t>
            </w:r>
          </w:p>
        </w:tc>
      </w:tr>
      <w:tr w:rsidR="008B54A2" w:rsidRPr="008B54A2" w14:paraId="11505370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305DFB" w14:textId="2734737F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Male gender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922B91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1.26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9E3B28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.79-1.99</w:t>
            </w:r>
          </w:p>
        </w:tc>
      </w:tr>
      <w:tr w:rsidR="008B54A2" w:rsidRPr="008B54A2" w14:paraId="3E1D3EAA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DA45D" w14:textId="5B999C67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Cardiomyopathy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B751DD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1.33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CC491A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.84-2.13</w:t>
            </w:r>
          </w:p>
        </w:tc>
      </w:tr>
      <w:tr w:rsidR="008B54A2" w:rsidRPr="008B54A2" w14:paraId="31336BA0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9DFE5" w14:textId="5EA73013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Hypertension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70F0964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819D3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.66-1.57</w:t>
            </w:r>
          </w:p>
        </w:tc>
      </w:tr>
      <w:tr w:rsidR="008B54A2" w:rsidRPr="008B54A2" w14:paraId="141C41C8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4A6E7" w14:textId="2C3CEEE6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COPD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973B439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1.64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5D369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.99-2.72</w:t>
            </w:r>
          </w:p>
        </w:tc>
      </w:tr>
      <w:tr w:rsidR="008B54A2" w:rsidRPr="008B54A2" w14:paraId="4DA1540C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1458F2" w14:textId="7F999742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Diabetes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A4F3BC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.90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275980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.53-1.53</w:t>
            </w:r>
          </w:p>
        </w:tc>
      </w:tr>
      <w:tr w:rsidR="008B54A2" w:rsidRPr="008B54A2" w14:paraId="361731F8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23450" w14:textId="31CF682A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Obesity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3DC6BD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1.32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E2D28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.68-2.54</w:t>
            </w:r>
          </w:p>
        </w:tc>
      </w:tr>
      <w:tr w:rsidR="008B54A2" w:rsidRPr="008B54A2" w14:paraId="16879136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4DA26" w14:textId="66D53194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Chronic renal failure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91C298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1.10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2EC14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.62-1.95</w:t>
            </w:r>
          </w:p>
        </w:tc>
      </w:tr>
      <w:tr w:rsidR="008B54A2" w:rsidRPr="008B54A2" w14:paraId="7237278D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DA8534" w14:textId="09AFD804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Smoke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350BC1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1.03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10F296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.49-2.18</w:t>
            </w:r>
          </w:p>
        </w:tc>
      </w:tr>
      <w:tr w:rsidR="008B54A2" w:rsidRPr="008B54A2" w14:paraId="042F78B5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53BDE" w14:textId="7A1F4CCD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Hematologic malignancy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068001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1.46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95D5D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.57-3.74</w:t>
            </w:r>
          </w:p>
        </w:tc>
      </w:tr>
      <w:tr w:rsidR="008B54A2" w:rsidRPr="008B54A2" w14:paraId="524A7BE6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36598C" w14:textId="71B505B8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Long-term home NIV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1626A0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1.61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4AF01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.47-5.54</w:t>
            </w:r>
          </w:p>
        </w:tc>
      </w:tr>
      <w:tr w:rsidR="008B54A2" w:rsidRPr="008B54A2" w14:paraId="238AC465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800BC9" w14:textId="755AEBE2" w:rsidR="00E22D5F" w:rsidRPr="008B54A2" w:rsidRDefault="00E22D5F" w:rsidP="003051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proofErr w:type="gramStart"/>
            <w:r w:rsidRPr="008B54A2">
              <w:rPr>
                <w:rFonts w:ascii="Times New Roman" w:hAnsi="Times New Roman" w:cs="Times New Roman"/>
                <w:lang w:val="en-US"/>
              </w:rPr>
              <w:t>Other</w:t>
            </w:r>
            <w:proofErr w:type="gramEnd"/>
            <w:r w:rsidRPr="008B54A2">
              <w:rPr>
                <w:rFonts w:ascii="Times New Roman" w:hAnsi="Times New Roman" w:cs="Times New Roman"/>
                <w:lang w:val="en-US"/>
              </w:rPr>
              <w:t xml:space="preserve"> comorbidity</w:t>
            </w:r>
            <w:r w:rsidR="0030517D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150E0B4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1.00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94C8D" w14:textId="77777777" w:rsidR="00E22D5F" w:rsidRPr="008B54A2" w:rsidRDefault="00E22D5F" w:rsidP="0030517D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.56-1.79</w:t>
            </w:r>
          </w:p>
        </w:tc>
      </w:tr>
      <w:tr w:rsidR="00C57B51" w:rsidRPr="008B54A2" w14:paraId="3084384A" w14:textId="77777777" w:rsidTr="00980661">
        <w:trPr>
          <w:trHeight w:val="386"/>
          <w:jc w:val="center"/>
        </w:trPr>
        <w:tc>
          <w:tcPr>
            <w:tcW w:w="907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D243F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 xml:space="preserve">LR= 31.2 </w:t>
            </w:r>
            <w:r w:rsidRPr="008B54A2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8B54A2">
              <w:rPr>
                <w:rFonts w:ascii="Times New Roman" w:hAnsi="Times New Roman" w:cs="Times New Roman"/>
                <w:lang w:val="en-US"/>
              </w:rPr>
              <w:t xml:space="preserve"> = .01</w:t>
            </w:r>
          </w:p>
        </w:tc>
      </w:tr>
      <w:bookmarkEnd w:id="5"/>
    </w:tbl>
    <w:p w14:paraId="003ACF7F" w14:textId="6B36FE6C" w:rsidR="004A1147" w:rsidRPr="008B54A2" w:rsidRDefault="004A1147" w:rsidP="00C42D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6E8897" w14:textId="047D3416" w:rsidR="00E22D5F" w:rsidRPr="008B54A2" w:rsidRDefault="00E22D5F" w:rsidP="00E22D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91679514"/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4S.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Cox regression model on one-year survival. Age is considered as divided by age groups, &lt;50 years and subsequently by classes of ten years. </w:t>
      </w:r>
    </w:p>
    <w:p w14:paraId="5243DE72" w14:textId="1448EDD9" w:rsidR="0030517D" w:rsidRPr="008B54A2" w:rsidRDefault="0014529D" w:rsidP="0030517D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§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vs full treatment; </w:t>
      </w: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vs COPD exacerbation;</w:t>
      </w: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0517D"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="0030517D" w:rsidRPr="008B54A2">
        <w:rPr>
          <w:rFonts w:ascii="Times New Roman" w:hAnsi="Times New Roman" w:cs="Times New Roman"/>
          <w:sz w:val="24"/>
          <w:szCs w:val="24"/>
          <w:lang w:val="en-US"/>
        </w:rPr>
        <w:t>vs absence of disease condition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7AF701" w14:textId="489FB467" w:rsidR="00E22D5F" w:rsidRPr="008B54A2" w:rsidRDefault="00E22D5F" w:rsidP="00E22D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ARF = acute respiratory failure, CI = confidence interval, </w:t>
      </w:r>
      <w:bookmarkStart w:id="7" w:name="_Hlk87717562"/>
      <w:r w:rsidRPr="008B54A2">
        <w:rPr>
          <w:rFonts w:ascii="Times New Roman" w:hAnsi="Times New Roman" w:cs="Times New Roman"/>
          <w:sz w:val="24"/>
          <w:szCs w:val="24"/>
          <w:lang w:val="en-US"/>
        </w:rPr>
        <w:t>COPD = chronic obstructive pulmonary disease exacerbation</w:t>
      </w:r>
      <w:bookmarkEnd w:id="7"/>
      <w:r w:rsidRPr="008B54A2">
        <w:rPr>
          <w:rFonts w:ascii="Times New Roman" w:hAnsi="Times New Roman" w:cs="Times New Roman"/>
          <w:sz w:val="24"/>
          <w:szCs w:val="24"/>
          <w:lang w:val="en-US"/>
        </w:rPr>
        <w:t>, DNI = do not intubate, HR = hazard ratio, LR = likelihood-ratio test, NIV = noninvasive ventilation.</w:t>
      </w:r>
    </w:p>
    <w:bookmarkEnd w:id="6"/>
    <w:p w14:paraId="37CB6A6B" w14:textId="2A629571" w:rsidR="004A1147" w:rsidRPr="008B54A2" w:rsidRDefault="004A1147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BCCBF" w14:textId="48190E2D" w:rsidR="00E22D5F" w:rsidRPr="008B54A2" w:rsidRDefault="00E22D5F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41BB4E" w14:textId="68BB427A" w:rsidR="00E22D5F" w:rsidRPr="008B54A2" w:rsidRDefault="00E22D5F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F2236D" w14:textId="4E45F605" w:rsidR="00E22D5F" w:rsidRPr="008B54A2" w:rsidRDefault="00E22D5F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FC0D88" w14:textId="1CA013F1" w:rsidR="00E22D5F" w:rsidRPr="008B54A2" w:rsidRDefault="00E22D5F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29D001" w14:textId="131D8CD5" w:rsidR="00E22D5F" w:rsidRPr="008B54A2" w:rsidRDefault="00E22D5F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51C134" w14:textId="7DA5C494" w:rsidR="00D80A51" w:rsidRPr="008B54A2" w:rsidRDefault="00804A6E" w:rsidP="00E22D5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A.</w:t>
      </w:r>
    </w:p>
    <w:p w14:paraId="04126868" w14:textId="77777777" w:rsidR="00804A6E" w:rsidRPr="008B54A2" w:rsidRDefault="00804A6E" w:rsidP="00E22D5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7BE64B" w14:textId="07B9CACD" w:rsidR="00E22D5F" w:rsidRPr="008B54A2" w:rsidRDefault="00E22D5F" w:rsidP="00E22D5F">
      <w:pPr>
        <w:spacing w:after="0"/>
        <w:rPr>
          <w:lang w:val="en-US"/>
        </w:rPr>
      </w:pPr>
    </w:p>
    <w:tbl>
      <w:tblPr>
        <w:tblStyle w:val="Grigliatabella"/>
        <w:tblpPr w:leftFromText="141" w:rightFromText="141" w:vertAnchor="page" w:horzAnchor="margin" w:tblpXSpec="center" w:tblpY="1825"/>
        <w:tblW w:w="9074" w:type="dxa"/>
        <w:tblLook w:val="04A0" w:firstRow="1" w:lastRow="0" w:firstColumn="1" w:lastColumn="0" w:noHBand="0" w:noVBand="1"/>
      </w:tblPr>
      <w:tblGrid>
        <w:gridCol w:w="5128"/>
        <w:gridCol w:w="1417"/>
        <w:gridCol w:w="2529"/>
      </w:tblGrid>
      <w:tr w:rsidR="008B54A2" w:rsidRPr="008B54A2" w14:paraId="20951CEC" w14:textId="77777777" w:rsidTr="00980661">
        <w:trPr>
          <w:trHeight w:val="386"/>
        </w:trPr>
        <w:tc>
          <w:tcPr>
            <w:tcW w:w="5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EA217" w14:textId="77777777" w:rsidR="00E22D5F" w:rsidRPr="008B54A2" w:rsidRDefault="00E22D5F" w:rsidP="009806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DD13D7" w14:textId="77777777" w:rsidR="00E22D5F" w:rsidRPr="008B54A2" w:rsidRDefault="00E22D5F" w:rsidP="00980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EDD85" w14:textId="77777777" w:rsidR="00E22D5F" w:rsidRPr="008B54A2" w:rsidRDefault="00E22D5F" w:rsidP="009806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  <w:lang w:val="en-GB"/>
              </w:rPr>
              <w:t>[95% CI]</w:t>
            </w:r>
          </w:p>
        </w:tc>
      </w:tr>
      <w:tr w:rsidR="008B54A2" w:rsidRPr="008B54A2" w14:paraId="3D927D49" w14:textId="77777777" w:rsidTr="00980661">
        <w:trPr>
          <w:trHeight w:val="386"/>
        </w:trPr>
        <w:tc>
          <w:tcPr>
            <w:tcW w:w="5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348E7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907E1E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843013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.65-1.23</w:t>
            </w:r>
          </w:p>
        </w:tc>
      </w:tr>
      <w:tr w:rsidR="008B54A2" w:rsidRPr="008B54A2" w14:paraId="72253CD6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DD3F59" w14:textId="3917990A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DNI status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§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D40D67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2FA9E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.065-.59</w:t>
            </w:r>
          </w:p>
        </w:tc>
      </w:tr>
      <w:tr w:rsidR="008B54A2" w:rsidRPr="008B54A2" w14:paraId="74014589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9BDBD9" w14:textId="7BF0935B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Pneumonia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4DE249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1.84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EC4D0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.49-6.89</w:t>
            </w:r>
          </w:p>
        </w:tc>
      </w:tr>
      <w:tr w:rsidR="008B54A2" w:rsidRPr="008B54A2" w14:paraId="0D97C684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D5A123" w14:textId="382647C2" w:rsidR="00E22D5F" w:rsidRPr="008B54A2" w:rsidRDefault="00804A6E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Cardiogenic pulmonary edema</w:t>
            </w:r>
            <w:r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93AC08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1.03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B9389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.27-3.93</w:t>
            </w:r>
          </w:p>
        </w:tc>
      </w:tr>
      <w:tr w:rsidR="008B54A2" w:rsidRPr="008B54A2" w14:paraId="12DE4BBA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75DF8" w14:textId="31627834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Other</w:t>
            </w:r>
            <w:r w:rsidR="00804A6E" w:rsidRPr="008B54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54A2">
              <w:rPr>
                <w:rFonts w:ascii="Times New Roman" w:hAnsi="Times New Roman" w:cs="Times New Roman"/>
                <w:lang w:val="en-US"/>
              </w:rPr>
              <w:t>ARF diagnosis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CCA66C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1.05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940F7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.27-4.10</w:t>
            </w:r>
          </w:p>
        </w:tc>
      </w:tr>
      <w:tr w:rsidR="008B54A2" w:rsidRPr="008B54A2" w14:paraId="07287C24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BEC1E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 xml:space="preserve">Male gender 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6E3B0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.83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B466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.41-1.69</w:t>
            </w:r>
          </w:p>
        </w:tc>
      </w:tr>
      <w:tr w:rsidR="008B54A2" w:rsidRPr="008B54A2" w14:paraId="25D5B372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2F36B0" w14:textId="2BF5986E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Cardiomyopathy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51CDF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1.05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72FE8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.47-2.34</w:t>
            </w:r>
          </w:p>
        </w:tc>
      </w:tr>
      <w:tr w:rsidR="008B54A2" w:rsidRPr="008B54A2" w14:paraId="66E77671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1DFED" w14:textId="3C9CB7B5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Hypertension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0853D2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.84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49F7D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.40-1.77</w:t>
            </w:r>
          </w:p>
        </w:tc>
      </w:tr>
      <w:tr w:rsidR="008B54A2" w:rsidRPr="008B54A2" w14:paraId="4EE824A7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B7CCCD" w14:textId="38ACB01B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COPD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38C910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.79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863692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.31-2.07</w:t>
            </w:r>
          </w:p>
        </w:tc>
      </w:tr>
      <w:tr w:rsidR="008B54A2" w:rsidRPr="008B54A2" w14:paraId="207D0534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2FB8D" w14:textId="2CB7BA6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Diabetes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B0924BE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362AB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.18-1.42</w:t>
            </w:r>
          </w:p>
        </w:tc>
      </w:tr>
      <w:tr w:rsidR="008B54A2" w:rsidRPr="008B54A2" w14:paraId="6973D8D7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D4F83" w14:textId="47C55076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Obesity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205A91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3F177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.16-2.25</w:t>
            </w:r>
          </w:p>
        </w:tc>
      </w:tr>
      <w:tr w:rsidR="008B54A2" w:rsidRPr="008B54A2" w14:paraId="60950BF6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29B2E" w14:textId="4F4903BC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Chronic renal failure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17FCD8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.92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BA8BC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.32-2.67</w:t>
            </w:r>
          </w:p>
        </w:tc>
      </w:tr>
      <w:tr w:rsidR="008B54A2" w:rsidRPr="008B54A2" w14:paraId="505C88A5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8CA23" w14:textId="31D3CA2F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Smoke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6F7E8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2.28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5C468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.86-6.04</w:t>
            </w:r>
          </w:p>
        </w:tc>
      </w:tr>
      <w:tr w:rsidR="008B54A2" w:rsidRPr="008B54A2" w14:paraId="5AFBFFAB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30AFF" w14:textId="0C6CF28A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Hematologic malignancy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F97F13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1.63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CDCB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.53-5.04</w:t>
            </w:r>
          </w:p>
        </w:tc>
      </w:tr>
      <w:tr w:rsidR="008B54A2" w:rsidRPr="008B54A2" w14:paraId="064BFC69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C1CF7" w14:textId="0B85C28E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Long-term home NIV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A3FDB09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1.45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2E80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.15-14.16</w:t>
            </w:r>
          </w:p>
        </w:tc>
      </w:tr>
      <w:tr w:rsidR="008B54A2" w:rsidRPr="008B54A2" w14:paraId="535E7796" w14:textId="77777777" w:rsidTr="00980661">
        <w:trPr>
          <w:trHeight w:val="386"/>
        </w:trPr>
        <w:tc>
          <w:tcPr>
            <w:tcW w:w="51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1EED89" w14:textId="5C2C1DF4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B54A2">
              <w:rPr>
                <w:rFonts w:ascii="Times New Roman" w:hAnsi="Times New Roman" w:cs="Times New Roman"/>
                <w:lang w:val="en-US"/>
              </w:rPr>
              <w:t>Other</w:t>
            </w:r>
            <w:proofErr w:type="gramEnd"/>
            <w:r w:rsidRPr="008B54A2">
              <w:rPr>
                <w:rFonts w:ascii="Times New Roman" w:hAnsi="Times New Roman" w:cs="Times New Roman"/>
                <w:lang w:val="en-US"/>
              </w:rPr>
              <w:t xml:space="preserve"> comorbidity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98B6CBF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.98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D7BC4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.41-1.55</w:t>
            </w:r>
          </w:p>
        </w:tc>
      </w:tr>
      <w:tr w:rsidR="008B54A2" w:rsidRPr="008B54A2" w14:paraId="30CC88CB" w14:textId="77777777" w:rsidTr="00980661">
        <w:trPr>
          <w:trHeight w:val="386"/>
        </w:trPr>
        <w:tc>
          <w:tcPr>
            <w:tcW w:w="907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E8B22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 xml:space="preserve">LR= 24.8 </w:t>
            </w:r>
            <w:r w:rsidRPr="008B54A2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8B54A2">
              <w:rPr>
                <w:rFonts w:ascii="Times New Roman" w:hAnsi="Times New Roman" w:cs="Times New Roman"/>
                <w:lang w:val="en-US"/>
              </w:rPr>
              <w:t xml:space="preserve"> = .07</w:t>
            </w:r>
          </w:p>
        </w:tc>
      </w:tr>
    </w:tbl>
    <w:p w14:paraId="31A8ADBC" w14:textId="77777777" w:rsidR="00E22D5F" w:rsidRPr="008B54A2" w:rsidRDefault="00E22D5F" w:rsidP="00E22D5F">
      <w:pPr>
        <w:rPr>
          <w:lang w:val="en-US"/>
        </w:rPr>
      </w:pPr>
    </w:p>
    <w:p w14:paraId="2F1DE4E8" w14:textId="77777777" w:rsidR="00E22D5F" w:rsidRPr="008B54A2" w:rsidRDefault="00E22D5F" w:rsidP="00E22D5F">
      <w:pPr>
        <w:rPr>
          <w:lang w:val="en-US"/>
        </w:rPr>
      </w:pPr>
    </w:p>
    <w:p w14:paraId="28E3696E" w14:textId="77777777" w:rsidR="00E22D5F" w:rsidRPr="008B54A2" w:rsidRDefault="00E22D5F" w:rsidP="00E22D5F">
      <w:pPr>
        <w:rPr>
          <w:lang w:val="en-US"/>
        </w:rPr>
      </w:pPr>
    </w:p>
    <w:p w14:paraId="37506FF0" w14:textId="77777777" w:rsidR="00E22D5F" w:rsidRPr="008B54A2" w:rsidRDefault="00E22D5F" w:rsidP="00E22D5F">
      <w:pPr>
        <w:rPr>
          <w:lang w:val="en-US"/>
        </w:rPr>
      </w:pPr>
    </w:p>
    <w:p w14:paraId="23E30EE6" w14:textId="77777777" w:rsidR="00E22D5F" w:rsidRPr="008B54A2" w:rsidRDefault="00E22D5F" w:rsidP="00E22D5F">
      <w:pPr>
        <w:rPr>
          <w:lang w:val="en-US"/>
        </w:rPr>
      </w:pPr>
    </w:p>
    <w:p w14:paraId="58BF56AF" w14:textId="77777777" w:rsidR="00E22D5F" w:rsidRPr="008B54A2" w:rsidRDefault="00E22D5F" w:rsidP="00E22D5F">
      <w:pPr>
        <w:rPr>
          <w:lang w:val="en-US"/>
        </w:rPr>
      </w:pPr>
    </w:p>
    <w:p w14:paraId="3F6D5C34" w14:textId="77777777" w:rsidR="00E22D5F" w:rsidRPr="008B54A2" w:rsidRDefault="00E22D5F" w:rsidP="00E22D5F">
      <w:pPr>
        <w:rPr>
          <w:lang w:val="en-US"/>
        </w:rPr>
      </w:pPr>
    </w:p>
    <w:p w14:paraId="61770E8E" w14:textId="77777777" w:rsidR="00E22D5F" w:rsidRPr="008B54A2" w:rsidRDefault="00E22D5F" w:rsidP="00E22D5F">
      <w:pPr>
        <w:rPr>
          <w:lang w:val="en-US"/>
        </w:rPr>
      </w:pPr>
    </w:p>
    <w:p w14:paraId="2F764B5B" w14:textId="77777777" w:rsidR="00E22D5F" w:rsidRPr="008B54A2" w:rsidRDefault="00E22D5F" w:rsidP="00E22D5F">
      <w:pPr>
        <w:rPr>
          <w:lang w:val="en-US"/>
        </w:rPr>
      </w:pPr>
    </w:p>
    <w:p w14:paraId="6835BFDE" w14:textId="77777777" w:rsidR="00E22D5F" w:rsidRPr="008B54A2" w:rsidRDefault="00E22D5F" w:rsidP="00E22D5F">
      <w:pPr>
        <w:rPr>
          <w:lang w:val="en-US"/>
        </w:rPr>
      </w:pPr>
    </w:p>
    <w:p w14:paraId="31DE95C5" w14:textId="5B73651D" w:rsidR="00E22D5F" w:rsidRPr="008B54A2" w:rsidRDefault="00E22D5F" w:rsidP="00E22D5F">
      <w:pPr>
        <w:rPr>
          <w:lang w:val="en-US"/>
        </w:rPr>
      </w:pPr>
    </w:p>
    <w:p w14:paraId="74FAF368" w14:textId="77777777" w:rsidR="00804A6E" w:rsidRPr="008B54A2" w:rsidRDefault="00804A6E" w:rsidP="00E22D5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247EC2" w14:textId="77777777" w:rsidR="00E22D5F" w:rsidRPr="008B54A2" w:rsidRDefault="00E22D5F" w:rsidP="00E22D5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1FAA4C" w14:textId="77777777" w:rsidR="00E22D5F" w:rsidRPr="008B54A2" w:rsidRDefault="00E22D5F" w:rsidP="00E22D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B.</w:t>
      </w:r>
    </w:p>
    <w:tbl>
      <w:tblPr>
        <w:tblStyle w:val="Grigliatabella"/>
        <w:tblW w:w="9074" w:type="dxa"/>
        <w:jc w:val="center"/>
        <w:tblLook w:val="04A0" w:firstRow="1" w:lastRow="0" w:firstColumn="1" w:lastColumn="0" w:noHBand="0" w:noVBand="1"/>
      </w:tblPr>
      <w:tblGrid>
        <w:gridCol w:w="5128"/>
        <w:gridCol w:w="1417"/>
        <w:gridCol w:w="2529"/>
      </w:tblGrid>
      <w:tr w:rsidR="008B54A2" w:rsidRPr="008B54A2" w14:paraId="4A597558" w14:textId="77777777" w:rsidTr="00980661">
        <w:trPr>
          <w:trHeight w:val="386"/>
          <w:jc w:val="center"/>
        </w:trPr>
        <w:tc>
          <w:tcPr>
            <w:tcW w:w="5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50CEF" w14:textId="77777777" w:rsidR="00E22D5F" w:rsidRPr="008B54A2" w:rsidRDefault="00E22D5F" w:rsidP="00980661">
            <w:pPr>
              <w:spacing w:after="1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5E192C" w14:textId="77777777" w:rsidR="00E22D5F" w:rsidRPr="008B54A2" w:rsidRDefault="00E22D5F" w:rsidP="00980661">
            <w:pPr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8797D" w14:textId="77777777" w:rsidR="00E22D5F" w:rsidRPr="008B54A2" w:rsidRDefault="00E22D5F" w:rsidP="00980661">
            <w:pPr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b/>
                <w:bCs/>
                <w:lang w:val="en-GB"/>
              </w:rPr>
              <w:t>[95% CI]</w:t>
            </w:r>
          </w:p>
        </w:tc>
      </w:tr>
      <w:tr w:rsidR="008B54A2" w:rsidRPr="008B54A2" w14:paraId="08C33500" w14:textId="77777777" w:rsidTr="00980661">
        <w:trPr>
          <w:trHeight w:val="386"/>
          <w:jc w:val="center"/>
        </w:trPr>
        <w:tc>
          <w:tcPr>
            <w:tcW w:w="5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F78F00" w14:textId="77777777" w:rsidR="00E22D5F" w:rsidRPr="008B54A2" w:rsidRDefault="00E22D5F" w:rsidP="00980661">
            <w:pPr>
              <w:spacing w:after="160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35F1A2" w14:textId="77777777" w:rsidR="00E22D5F" w:rsidRPr="008B54A2" w:rsidRDefault="00E22D5F" w:rsidP="00980661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.96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8838648" w14:textId="77777777" w:rsidR="00E22D5F" w:rsidRPr="008B54A2" w:rsidRDefault="00E22D5F" w:rsidP="00980661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.66-1.39</w:t>
            </w:r>
          </w:p>
        </w:tc>
      </w:tr>
      <w:tr w:rsidR="008B54A2" w:rsidRPr="008B54A2" w14:paraId="00024516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D5075C" w14:textId="4AA1B7DE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DNI status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§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881D67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CCF1D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.12-.95</w:t>
            </w:r>
          </w:p>
        </w:tc>
      </w:tr>
      <w:tr w:rsidR="008B54A2" w:rsidRPr="008B54A2" w14:paraId="4E5EC20E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0FD49" w14:textId="3FD7E84F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>Pneumonia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A1BE5F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13D0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.12-1.35</w:t>
            </w:r>
          </w:p>
        </w:tc>
      </w:tr>
      <w:tr w:rsidR="008B54A2" w:rsidRPr="008B54A2" w14:paraId="6FFC16E6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4779BD" w14:textId="41C266B8" w:rsidR="00E22D5F" w:rsidRPr="008B54A2" w:rsidRDefault="00804A6E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Cardiogenic pulmonary edema</w:t>
            </w:r>
            <w:r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161BA7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.48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FC743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.17-1.41</w:t>
            </w:r>
          </w:p>
        </w:tc>
      </w:tr>
      <w:tr w:rsidR="008B54A2" w:rsidRPr="008B54A2" w14:paraId="49EE95A1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077349" w14:textId="568B39AC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Other ARF diagnosis</w:t>
            </w:r>
            <w:r w:rsidR="00804A6E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DE8990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.47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0558B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.14-1.51</w:t>
            </w:r>
          </w:p>
        </w:tc>
      </w:tr>
      <w:tr w:rsidR="008B54A2" w:rsidRPr="008B54A2" w14:paraId="4A4998E7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1D0D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</w:rPr>
              <w:t xml:space="preserve">Male gender 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3A5436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1.24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D894F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.58-2.65</w:t>
            </w:r>
          </w:p>
        </w:tc>
      </w:tr>
      <w:tr w:rsidR="008B54A2" w:rsidRPr="008B54A2" w14:paraId="7364E086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BC3C4" w14:textId="75E817DC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Cardiomyopathy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11F49F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1.50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23701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.67-3.33</w:t>
            </w:r>
          </w:p>
        </w:tc>
      </w:tr>
      <w:tr w:rsidR="008B54A2" w:rsidRPr="008B54A2" w14:paraId="7C38B239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06799B" w14:textId="1F2FA00D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Hypertension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73EBC7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.83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8FB2C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.39-1.78</w:t>
            </w:r>
          </w:p>
        </w:tc>
      </w:tr>
      <w:tr w:rsidR="008B54A2" w:rsidRPr="008B54A2" w14:paraId="30033940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1A2A45" w14:textId="2A2DD8D6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COPD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D472C1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1.25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3403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.51-3.05</w:t>
            </w:r>
          </w:p>
        </w:tc>
      </w:tr>
      <w:tr w:rsidR="008B54A2" w:rsidRPr="008B54A2" w14:paraId="319990CC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B819CE" w14:textId="4CC3E996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Diabetes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C2A73C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1.64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699DD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.71-3.77</w:t>
            </w:r>
          </w:p>
        </w:tc>
      </w:tr>
      <w:tr w:rsidR="008B54A2" w:rsidRPr="008B54A2" w14:paraId="5F475EA5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4AFF5" w14:textId="1FF67EF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Obesity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EF3FA5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2.44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95750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.94-6.31</w:t>
            </w:r>
          </w:p>
        </w:tc>
      </w:tr>
      <w:tr w:rsidR="008B54A2" w:rsidRPr="008B54A2" w14:paraId="59640774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6BDD3" w14:textId="6304A40C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Chronic renal failure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DAD3859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.77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76900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.28-2.10</w:t>
            </w:r>
          </w:p>
        </w:tc>
      </w:tr>
      <w:tr w:rsidR="008B54A2" w:rsidRPr="008B54A2" w14:paraId="3F209CA9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EE0E7" w14:textId="73454096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Smoke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786F01C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1.77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B6351E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.66-4.73</w:t>
            </w:r>
          </w:p>
        </w:tc>
      </w:tr>
      <w:tr w:rsidR="008B54A2" w:rsidRPr="008B54A2" w14:paraId="186DAC64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6D449" w14:textId="215BD499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Hematologic malignancy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AAED02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3.99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31C34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1.22-13.07</w:t>
            </w:r>
          </w:p>
        </w:tc>
      </w:tr>
      <w:tr w:rsidR="008B54A2" w:rsidRPr="008B54A2" w14:paraId="2F1EEE67" w14:textId="77777777" w:rsidTr="00980661">
        <w:trPr>
          <w:trHeight w:val="386"/>
          <w:jc w:val="center"/>
        </w:trPr>
        <w:tc>
          <w:tcPr>
            <w:tcW w:w="512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7B4654" w14:textId="704864D0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B54A2">
              <w:rPr>
                <w:rFonts w:ascii="Times New Roman" w:hAnsi="Times New Roman" w:cs="Times New Roman"/>
                <w:lang w:val="en-US"/>
              </w:rPr>
              <w:t>Other</w:t>
            </w:r>
            <w:proofErr w:type="gramEnd"/>
            <w:r w:rsidRPr="008B54A2">
              <w:rPr>
                <w:rFonts w:ascii="Times New Roman" w:hAnsi="Times New Roman" w:cs="Times New Roman"/>
                <w:lang w:val="en-US"/>
              </w:rPr>
              <w:t xml:space="preserve"> comorbidity</w:t>
            </w:r>
            <w:r w:rsidR="001B1C11" w:rsidRPr="008B54A2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E45E1BB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.59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F174EA" w14:textId="77777777" w:rsidR="00E22D5F" w:rsidRPr="008B54A2" w:rsidRDefault="00E22D5F" w:rsidP="0098066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>.21-1.65</w:t>
            </w:r>
          </w:p>
        </w:tc>
      </w:tr>
      <w:tr w:rsidR="00E22D5F" w:rsidRPr="008B54A2" w14:paraId="0EFB4F99" w14:textId="77777777" w:rsidTr="00980661">
        <w:trPr>
          <w:trHeight w:val="386"/>
          <w:jc w:val="center"/>
        </w:trPr>
        <w:tc>
          <w:tcPr>
            <w:tcW w:w="907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CC480" w14:textId="77777777" w:rsidR="00E22D5F" w:rsidRPr="008B54A2" w:rsidRDefault="00E22D5F" w:rsidP="00980661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B54A2">
              <w:rPr>
                <w:rFonts w:ascii="Times New Roman" w:hAnsi="Times New Roman" w:cs="Times New Roman"/>
                <w:lang w:val="en-US"/>
              </w:rPr>
              <w:t xml:space="preserve">LR= 26.3 </w:t>
            </w:r>
            <w:r w:rsidRPr="008B54A2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8B54A2">
              <w:rPr>
                <w:rFonts w:ascii="Times New Roman" w:hAnsi="Times New Roman" w:cs="Times New Roman"/>
                <w:lang w:val="en-US"/>
              </w:rPr>
              <w:t xml:space="preserve"> = .035</w:t>
            </w:r>
          </w:p>
        </w:tc>
      </w:tr>
    </w:tbl>
    <w:p w14:paraId="5A29660A" w14:textId="77777777" w:rsidR="00E22D5F" w:rsidRPr="008B54A2" w:rsidRDefault="00E22D5F" w:rsidP="00E22D5F">
      <w:pPr>
        <w:rPr>
          <w:lang w:val="en-US"/>
        </w:rPr>
      </w:pPr>
    </w:p>
    <w:p w14:paraId="013C7616" w14:textId="18EA5063" w:rsidR="00E22D5F" w:rsidRPr="008B54A2" w:rsidRDefault="00E22D5F" w:rsidP="00E22D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E92211"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S.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Multivariable logistic regression model with transfers to intensive care unit (</w:t>
      </w:r>
      <w:r w:rsidR="00D80A51" w:rsidRPr="008B54A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S-A) and re-treatments (</w:t>
      </w:r>
      <w:r w:rsidR="00D80A51" w:rsidRPr="008B54A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S-B) as dependent variables, respectively. </w:t>
      </w:r>
    </w:p>
    <w:p w14:paraId="078AE56A" w14:textId="496DD4C1" w:rsidR="00E22D5F" w:rsidRPr="008B54A2" w:rsidRDefault="00E22D5F" w:rsidP="00E22D5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Age is considered as divided by age groups, &lt; 50 years and subsequently by classes of ten years. Long-term home noninvasive ventilation was not considered in the re-treatment model, as all </w:t>
      </w:r>
      <w:r w:rsidR="00FE0626" w:rsidRPr="008B54A2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with this comorbidity were re-treated.</w:t>
      </w:r>
    </w:p>
    <w:p w14:paraId="73DEA9CC" w14:textId="67F5C15D" w:rsidR="00804A6E" w:rsidRPr="008B54A2" w:rsidRDefault="00804A6E" w:rsidP="00E22D5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§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vs full treatment; </w:t>
      </w: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vs COPD exacerbation;</w:t>
      </w:r>
      <w:r w:rsidRPr="008B54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*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vs absence of disease condition.</w:t>
      </w:r>
    </w:p>
    <w:p w14:paraId="7F373B71" w14:textId="74847CAF" w:rsidR="007275AE" w:rsidRPr="008B54A2" w:rsidRDefault="00E22D5F" w:rsidP="00DA72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ARF = acute respiratory failure, CI = confidence interval, </w:t>
      </w:r>
      <w:bookmarkStart w:id="8" w:name="_Hlk96032922"/>
      <w:r w:rsidRPr="008B54A2">
        <w:rPr>
          <w:rFonts w:ascii="Times New Roman" w:hAnsi="Times New Roman" w:cs="Times New Roman"/>
          <w:sz w:val="24"/>
          <w:szCs w:val="24"/>
          <w:lang w:val="en-US"/>
        </w:rPr>
        <w:t>COPD = chronic obstructive pulmonary disease exacerbation</w:t>
      </w:r>
      <w:bookmarkEnd w:id="8"/>
      <w:r w:rsidR="00D80A51"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DNI = do not intubate, LR = likelihood-ratio test, NIV = noninvasive ventilation, OR = odds ratio.</w:t>
      </w:r>
      <w:bookmarkStart w:id="9" w:name="_Hlk91611400"/>
    </w:p>
    <w:p w14:paraId="1E4F6891" w14:textId="77777777" w:rsidR="00DA7275" w:rsidRPr="008B54A2" w:rsidRDefault="00DA7275" w:rsidP="00DA727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15994F" w14:textId="36D0B186" w:rsidR="00A20979" w:rsidRPr="008B54A2" w:rsidRDefault="00A20979" w:rsidP="007275A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FIGURES</w:t>
      </w:r>
    </w:p>
    <w:p w14:paraId="1532CB4D" w14:textId="4720224D" w:rsidR="006E3F43" w:rsidRPr="008B54A2" w:rsidRDefault="006E3F43" w:rsidP="006E3F4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B6C03F5" wp14:editId="0A03A579">
            <wp:extent cx="6225540" cy="5731333"/>
            <wp:effectExtent l="0" t="0" r="381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638" cy="573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1S. 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Algorithm of treatment and follow-up of </w:t>
      </w:r>
      <w:r w:rsidR="00FE0626" w:rsidRPr="008B54A2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in noninvasive ventilation outside the intensive care unit. </w:t>
      </w:r>
    </w:p>
    <w:p w14:paraId="60C03913" w14:textId="485EC0D9" w:rsidR="00CF77D7" w:rsidRPr="008B54A2" w:rsidRDefault="006E3F43" w:rsidP="00370FC2">
      <w:pPr>
        <w:spacing w:line="480" w:lineRule="auto"/>
        <w:rPr>
          <w:rFonts w:ascii="Times New Roman" w:hAnsi="Times New Roman" w:cs="Times New Roman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>ABG = arterial blood gas, ARF = acute respiratory failure, CPAP = continuous positive airway pressure, DNI = do-not-intubate, ETI = endotracheal intubation, NIV = noninvasive ventilation, NPPV = noninvasive positive pressure ventilation, PaCO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= arterial partial pressure of carbon dioxide, PaO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/FiO</w:t>
      </w:r>
      <w:r w:rsidRPr="008B54A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= arterial partial pressure of oxygen over inspired fraction of oxygen ratio</w:t>
      </w:r>
      <w:r w:rsidR="00423420" w:rsidRPr="008B5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1493F" w14:textId="477B3619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CD73B31" wp14:editId="4806A609">
            <wp:extent cx="4186800" cy="3042237"/>
            <wp:effectExtent l="0" t="0" r="4445" b="6350"/>
            <wp:docPr id="6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DCC8D439-9597-48FC-AE7E-5E41B147E8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DCC8D439-9597-48FC-AE7E-5E41B147E8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800" cy="30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AE340" w14:textId="3CD73CDD" w:rsidR="00CF77D7" w:rsidRDefault="00CF77D7" w:rsidP="00CF77D7">
      <w:pPr>
        <w:spacing w:line="480" w:lineRule="auto"/>
        <w:rPr>
          <w:rFonts w:ascii="Times New Roman" w:hAnsi="Times New Roman" w:cs="Times New Roman"/>
          <w:lang w:val="en-US"/>
        </w:rPr>
      </w:pP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BC66A7"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B54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S. 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One-year survival after hospital discharge of subjects treated with </w:t>
      </w:r>
      <w:r w:rsidR="00535AA0" w:rsidRPr="008B54A2">
        <w:rPr>
          <w:rFonts w:ascii="Times New Roman" w:hAnsi="Times New Roman" w:cs="Times New Roman"/>
          <w:sz w:val="24"/>
          <w:szCs w:val="24"/>
          <w:lang w:val="en-US"/>
        </w:rPr>
        <w:t>noninvasive outside the intensive care unit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, based on acute respiratory failure </w:t>
      </w:r>
      <w:r w:rsidR="009F2C05" w:rsidRPr="008B54A2">
        <w:rPr>
          <w:rFonts w:ascii="Times New Roman" w:hAnsi="Times New Roman" w:cs="Times New Roman"/>
          <w:sz w:val="24"/>
          <w:szCs w:val="24"/>
          <w:lang w:val="en-US"/>
        </w:rPr>
        <w:t>diagnosis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B54A2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445751" w:rsidRPr="008B54A2">
        <w:rPr>
          <w:rFonts w:ascii="Times New Roman" w:hAnsi="Times New Roman" w:cs="Times New Roman"/>
          <w:sz w:val="24"/>
          <w:szCs w:val="24"/>
          <w:lang w:val="en-US"/>
        </w:rPr>
        <w:t>.60)</w:t>
      </w:r>
      <w:r w:rsidRPr="008B54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B54A2">
        <w:rPr>
          <w:rFonts w:ascii="Times New Roman" w:hAnsi="Times New Roman" w:cs="Times New Roman"/>
          <w:lang w:val="en-US"/>
        </w:rPr>
        <w:t> </w:t>
      </w:r>
    </w:p>
    <w:p w14:paraId="2846C0D4" w14:textId="6B5E4896" w:rsidR="00AA5ED4" w:rsidRPr="008B54A2" w:rsidRDefault="00AA5ED4" w:rsidP="00CF77D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54A2">
        <w:rPr>
          <w:rFonts w:ascii="Times New Roman" w:hAnsi="Times New Roman" w:cs="Times New Roman"/>
          <w:sz w:val="24"/>
          <w:szCs w:val="24"/>
          <w:lang w:val="en-US"/>
        </w:rPr>
        <w:t>COPD = chronic obstructive pulmonary disease exacerbation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58E98A" w14:textId="470428C7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9D2560" w14:textId="78AF877F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EE191D" w14:textId="49461852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1FD0C4" w14:textId="5C98BF60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F2AD59" w14:textId="7AF1299D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D656A9" w14:textId="09C75728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675121" w14:textId="79A03048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693D6F" w14:textId="0D6687CB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7440A0" w14:textId="53E017B6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7415F1" w14:textId="77777777" w:rsidR="00CF77D7" w:rsidRPr="008B54A2" w:rsidRDefault="00CF77D7" w:rsidP="00370FC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F77D7" w:rsidRPr="008B5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6F"/>
    <w:multiLevelType w:val="hybridMultilevel"/>
    <w:tmpl w:val="2F60D3A8"/>
    <w:lvl w:ilvl="0" w:tplc="747E6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DA9"/>
    <w:multiLevelType w:val="hybridMultilevel"/>
    <w:tmpl w:val="1EDAD4F0"/>
    <w:lvl w:ilvl="0" w:tplc="37C6FF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7227C"/>
    <w:multiLevelType w:val="hybridMultilevel"/>
    <w:tmpl w:val="7BFAB328"/>
    <w:lvl w:ilvl="0" w:tplc="7CC07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4"/>
    <w:rsid w:val="00012776"/>
    <w:rsid w:val="000469BA"/>
    <w:rsid w:val="00142462"/>
    <w:rsid w:val="0014529D"/>
    <w:rsid w:val="00194E5C"/>
    <w:rsid w:val="001B1C11"/>
    <w:rsid w:val="00205B24"/>
    <w:rsid w:val="00216D2E"/>
    <w:rsid w:val="002271A6"/>
    <w:rsid w:val="002533DA"/>
    <w:rsid w:val="002658EF"/>
    <w:rsid w:val="00271FF6"/>
    <w:rsid w:val="0027757B"/>
    <w:rsid w:val="002A48DA"/>
    <w:rsid w:val="002C11E3"/>
    <w:rsid w:val="0030517D"/>
    <w:rsid w:val="003166DE"/>
    <w:rsid w:val="00344866"/>
    <w:rsid w:val="003515C6"/>
    <w:rsid w:val="00370FC2"/>
    <w:rsid w:val="00387851"/>
    <w:rsid w:val="003943AE"/>
    <w:rsid w:val="003C308A"/>
    <w:rsid w:val="003C6DA2"/>
    <w:rsid w:val="003E0DC7"/>
    <w:rsid w:val="00423420"/>
    <w:rsid w:val="00445751"/>
    <w:rsid w:val="00470DC1"/>
    <w:rsid w:val="00495077"/>
    <w:rsid w:val="00497631"/>
    <w:rsid w:val="004A1147"/>
    <w:rsid w:val="004B7CDC"/>
    <w:rsid w:val="005074FB"/>
    <w:rsid w:val="00530895"/>
    <w:rsid w:val="00535AA0"/>
    <w:rsid w:val="00537A4F"/>
    <w:rsid w:val="0059056C"/>
    <w:rsid w:val="005F768B"/>
    <w:rsid w:val="006006F5"/>
    <w:rsid w:val="00602541"/>
    <w:rsid w:val="006A62B0"/>
    <w:rsid w:val="006E3F43"/>
    <w:rsid w:val="007275AE"/>
    <w:rsid w:val="00747213"/>
    <w:rsid w:val="0076279C"/>
    <w:rsid w:val="00777AC7"/>
    <w:rsid w:val="00792200"/>
    <w:rsid w:val="007C2E81"/>
    <w:rsid w:val="007D0A62"/>
    <w:rsid w:val="007D1DBB"/>
    <w:rsid w:val="00804A6E"/>
    <w:rsid w:val="00811FF3"/>
    <w:rsid w:val="00880965"/>
    <w:rsid w:val="00890A54"/>
    <w:rsid w:val="00892223"/>
    <w:rsid w:val="008B54A2"/>
    <w:rsid w:val="008B766C"/>
    <w:rsid w:val="009362BF"/>
    <w:rsid w:val="00945A49"/>
    <w:rsid w:val="0096469C"/>
    <w:rsid w:val="009664F2"/>
    <w:rsid w:val="00973105"/>
    <w:rsid w:val="009A74B8"/>
    <w:rsid w:val="009B3487"/>
    <w:rsid w:val="009F2C05"/>
    <w:rsid w:val="00A0280A"/>
    <w:rsid w:val="00A0645A"/>
    <w:rsid w:val="00A17451"/>
    <w:rsid w:val="00A20979"/>
    <w:rsid w:val="00A71946"/>
    <w:rsid w:val="00AA1600"/>
    <w:rsid w:val="00AA5ED4"/>
    <w:rsid w:val="00AB1053"/>
    <w:rsid w:val="00AB770B"/>
    <w:rsid w:val="00AC135A"/>
    <w:rsid w:val="00AD4C6A"/>
    <w:rsid w:val="00B47C76"/>
    <w:rsid w:val="00B63C3C"/>
    <w:rsid w:val="00BC66A7"/>
    <w:rsid w:val="00C153A6"/>
    <w:rsid w:val="00C15636"/>
    <w:rsid w:val="00C42DF4"/>
    <w:rsid w:val="00C57B51"/>
    <w:rsid w:val="00C61B63"/>
    <w:rsid w:val="00CA7BBB"/>
    <w:rsid w:val="00CE3348"/>
    <w:rsid w:val="00CF77D7"/>
    <w:rsid w:val="00D52084"/>
    <w:rsid w:val="00D80A51"/>
    <w:rsid w:val="00DA7275"/>
    <w:rsid w:val="00DB342D"/>
    <w:rsid w:val="00DC5BD3"/>
    <w:rsid w:val="00DD33F0"/>
    <w:rsid w:val="00DE5A80"/>
    <w:rsid w:val="00E00936"/>
    <w:rsid w:val="00E103D5"/>
    <w:rsid w:val="00E22D5F"/>
    <w:rsid w:val="00E92211"/>
    <w:rsid w:val="00E968ED"/>
    <w:rsid w:val="00ED696C"/>
    <w:rsid w:val="00F4133C"/>
    <w:rsid w:val="00F908E0"/>
    <w:rsid w:val="00FE0626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418A"/>
  <w15:chartTrackingRefBased/>
  <w15:docId w15:val="{0EF70F45-A0EF-49D8-A1D5-544A39D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63C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0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0D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0D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0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0DC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E0D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0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MORETTO</dc:creator>
  <cp:keywords/>
  <dc:description/>
  <cp:lastModifiedBy>FRANCESCA MORETTO</cp:lastModifiedBy>
  <cp:revision>71</cp:revision>
  <dcterms:created xsi:type="dcterms:W3CDTF">2022-01-07T12:08:00Z</dcterms:created>
  <dcterms:modified xsi:type="dcterms:W3CDTF">2022-02-17T22:28:00Z</dcterms:modified>
</cp:coreProperties>
</file>