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EAF" w14:textId="59570A80" w:rsidR="004C2F85" w:rsidRDefault="004C2F85" w:rsidP="006B19F9">
      <w:pPr>
        <w:rPr>
          <w:rFonts w:eastAsiaTheme="minorEastAsia" w:cstheme="minorHAnsi"/>
          <w:color w:val="000000"/>
          <w:sz w:val="20"/>
          <w:szCs w:val="20"/>
        </w:rPr>
      </w:pPr>
    </w:p>
    <w:p w14:paraId="500BA537" w14:textId="43B761EF" w:rsidR="004C2F85" w:rsidRPr="00142937" w:rsidRDefault="004F0411" w:rsidP="004C2F85">
      <w:pPr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>Supplemental Table</w:t>
      </w:r>
      <w:r w:rsidR="004C2F85" w:rsidRPr="00142937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>2</w:t>
      </w:r>
      <w:r w:rsidR="004C2F85" w:rsidRPr="00142937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. Association between first post-transplant spirometry and diffusing capacity measures and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>non-relapse mortality</w:t>
      </w:r>
      <w:r w:rsidR="004C2F85" w:rsidRPr="00142937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</w:rPr>
        <w:t xml:space="preserve"> at 1 and 2 years after HCT</w:t>
      </w:r>
    </w:p>
    <w:tbl>
      <w:tblPr>
        <w:tblStyle w:val="TableGrid"/>
        <w:tblW w:w="12772" w:type="dxa"/>
        <w:tblLayout w:type="fixed"/>
        <w:tblLook w:val="06A0" w:firstRow="1" w:lastRow="0" w:firstColumn="1" w:lastColumn="0" w:noHBand="1" w:noVBand="1"/>
      </w:tblPr>
      <w:tblGrid>
        <w:gridCol w:w="1702"/>
        <w:gridCol w:w="2250"/>
        <w:gridCol w:w="1274"/>
        <w:gridCol w:w="1893"/>
        <w:gridCol w:w="1153"/>
        <w:gridCol w:w="1530"/>
        <w:gridCol w:w="1800"/>
        <w:gridCol w:w="1170"/>
      </w:tblGrid>
      <w:tr w:rsidR="004C2F85" w:rsidRPr="00142937" w14:paraId="6F8B2538" w14:textId="77777777" w:rsidTr="005E54BE">
        <w:trPr>
          <w:trHeight w:val="165"/>
        </w:trPr>
        <w:tc>
          <w:tcPr>
            <w:tcW w:w="17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9CE043F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PFT parameter</w:t>
            </w:r>
          </w:p>
        </w:tc>
        <w:tc>
          <w:tcPr>
            <w:tcW w:w="2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1F85D9DA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31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D03486C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1-year mortality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31FE5B56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p-value </w:t>
            </w:r>
          </w:p>
        </w:tc>
        <w:tc>
          <w:tcPr>
            <w:tcW w:w="33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0602AEB7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2-year mortality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FF545FF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p-value </w:t>
            </w:r>
          </w:p>
        </w:tc>
      </w:tr>
      <w:tr w:rsidR="004C2F85" w:rsidRPr="00142937" w14:paraId="779A0D03" w14:textId="77777777" w:rsidTr="005E54BE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481FD087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78F9633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2A81DD1F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530CC9C0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2CA49C46" w14:textId="77777777" w:rsidR="004C2F85" w:rsidRPr="00142937" w:rsidRDefault="004C2F85" w:rsidP="005E54B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420BF4E2" w14:textId="77777777" w:rsidR="004C2F85" w:rsidRPr="004F0411" w:rsidRDefault="004C2F85" w:rsidP="005E54B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5FBE5891" w14:textId="77777777" w:rsidR="004C2F85" w:rsidRPr="004F0411" w:rsidRDefault="004C2F85" w:rsidP="005E54B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458A40B" w14:textId="77777777" w:rsidR="004C2F85" w:rsidRPr="004F0411" w:rsidRDefault="004C2F85" w:rsidP="005E54B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F0411" w:rsidRPr="00142937" w14:paraId="77D5D1FB" w14:textId="77777777" w:rsidTr="00EC7F39">
        <w:trPr>
          <w:trHeight w:val="165"/>
        </w:trPr>
        <w:tc>
          <w:tcPr>
            <w:tcW w:w="17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BF2362E" w14:textId="05B893AA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Forced Expiratory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Volume</w:t>
            </w: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in 1 second (FEV</w:t>
            </w: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461579EC" w14:textId="6B107C29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Pre-transplant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32C46" w14:textId="5E0141D4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0.60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F65597" w14:textId="556E2B1E" w:rsidR="004F0411" w:rsidRPr="004F0411" w:rsidRDefault="004F0411" w:rsidP="004F0411">
            <w:pPr>
              <w:tabs>
                <w:tab w:val="center" w:pos="882"/>
              </w:tabs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0.49, 0.73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3E6BBB" w14:textId="023D99E8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7B1A9" w14:textId="579F8F57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0.56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277A3D" w14:textId="14B5A93A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0.47, 0.67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92179" w14:textId="18987557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645BF1C3" w14:textId="77777777" w:rsidTr="00850B9A">
        <w:trPr>
          <w:trHeight w:val="165"/>
        </w:trPr>
        <w:tc>
          <w:tcPr>
            <w:tcW w:w="17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0E57EC5" w14:textId="77777777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5F3D3DAE" w14:textId="36F14E82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First post-Tx PFT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742E8D" w14:textId="376FA64C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0.53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AB81B" w14:textId="589F1E8E" w:rsidR="004F0411" w:rsidRPr="004F0411" w:rsidRDefault="004F0411" w:rsidP="004F0411">
            <w:pPr>
              <w:tabs>
                <w:tab w:val="center" w:pos="882"/>
              </w:tabs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0.40, 0.69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5B854" w14:textId="77A5F075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DD4428" w14:textId="0D58A306" w:rsidR="004F0411" w:rsidRPr="004F0411" w:rsidRDefault="004F0411" w:rsidP="004F0411">
            <w:pPr>
              <w:jc w:val="center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0.50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8CA3F8" w14:textId="7C28C9C9" w:rsidR="004F0411" w:rsidRPr="004F0411" w:rsidRDefault="004F0411" w:rsidP="004F0411">
            <w:pPr>
              <w:jc w:val="center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0.40, 0.62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B6199" w14:textId="6F3A76A9" w:rsidR="004F0411" w:rsidRPr="004F0411" w:rsidRDefault="004F0411" w:rsidP="004F0411">
            <w:pPr>
              <w:jc w:val="center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7E86BB2E" w14:textId="77777777" w:rsidTr="008873E5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3656B51C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76EC2E5" w14:textId="62392AA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7AF39" w14:textId="467BEA2A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1.54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9E3FE" w14:textId="33028B12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0.92, 2.51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BC4949" w14:textId="61E7F13E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0.087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45055" w14:textId="557DD0ED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1.31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AAC69" w14:textId="5AC68EEC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0.84, 2.00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D528B0" w14:textId="719DBCCE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</w:tr>
      <w:tr w:rsidR="004F0411" w:rsidRPr="00142937" w14:paraId="3D44696E" w14:textId="77777777" w:rsidTr="00C81C68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1C7CC59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8F736E4" w14:textId="562D8E32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1AA62" w14:textId="2E8115CC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3.02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25E78" w14:textId="644993C1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1.54, 5.64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1F1EF3" w14:textId="6962F8C0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325C6" w14:textId="2FB3FE79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3.07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FCDA12" w14:textId="648D430D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1.68, 5.52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46C6C6" w14:textId="5EC8DEDA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13029A57" w14:textId="77777777" w:rsidTr="00CD76F7">
        <w:trPr>
          <w:trHeight w:val="165"/>
        </w:trPr>
        <w:tc>
          <w:tcPr>
            <w:tcW w:w="1702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048D7017" w14:textId="529020CD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Forced Vital Capacity (FVC)</w:t>
            </w: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111CEA3" w14:textId="6A5B096F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Pre-transplant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12A77" w14:textId="42089581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0.69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36FC9B" w14:textId="16D1F969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0.60, 0.80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85BD4C" w14:textId="6456B16A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BBD12C" w14:textId="5F8C9BFC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0.68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54402D" w14:textId="7905FF1B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0.59, 0.78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2EEB38" w14:textId="2D4F28A2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4C63624D" w14:textId="77777777" w:rsidTr="00386302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5E7AAA9" w14:textId="77777777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38AF1EF" w14:textId="7A14C441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First post-Tx PFT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701DD1" w14:textId="1AC50BAB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0.61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4930C" w14:textId="5B254A07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0.49, 0.76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A0F12" w14:textId="50D87F5F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10BF6" w14:textId="38D545EE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0.60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D4E82F" w14:textId="3A72E226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0.49, 0.71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DC2AD1" w14:textId="0560734E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02571514" w14:textId="77777777" w:rsidTr="00264C9A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BBEFDAA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916267F" w14:textId="7C1FFDE8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F9168" w14:textId="30783B05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1.73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0A1043" w14:textId="4843CEEA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1.06, 2.78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1E86C6" w14:textId="17E49820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0.025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2528C2" w14:textId="32EF7960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1.62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996841" w14:textId="1095080D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1.07, 2.43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14DEC" w14:textId="2251B10B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0.021</w:t>
            </w:r>
          </w:p>
        </w:tc>
      </w:tr>
      <w:tr w:rsidR="004F0411" w:rsidRPr="00142937" w14:paraId="08E1A166" w14:textId="77777777" w:rsidTr="00742F65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61D05889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0E1696D" w14:textId="10743690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96230F" w14:textId="46867EDF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2.75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CBD396" w14:textId="30BDFF9D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1.35, 5.28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0F2DD" w14:textId="5B84E4EF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F1EC2B" w14:textId="6E6EEEB5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3.21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DE5F8" w14:textId="17DD8465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1.74, 5.82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C255A" w14:textId="5B0C7181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01738C97" w14:textId="77777777" w:rsidTr="005E54BE">
        <w:trPr>
          <w:trHeight w:val="165"/>
        </w:trPr>
        <w:tc>
          <w:tcPr>
            <w:tcW w:w="1702" w:type="dxa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52F98644" w14:textId="77777777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Diffusing Capacity for Carbon Monoxide (DLCO)</w:t>
            </w: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9A0D218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Pre-transplant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A8B212" w14:textId="50578FC1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0.94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41DBB" w14:textId="4A32BD39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0.91, 0.96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54375" w14:textId="684F9443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9C602" w14:textId="5ED83664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0.93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E00C9" w14:textId="7777A895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0.91, 0.95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50F27E" w14:textId="31BDF67D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2058CB63" w14:textId="77777777" w:rsidTr="005E54BE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48E534E7" w14:textId="77777777" w:rsidR="004F0411" w:rsidRPr="00142937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C2B56AA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First post-Tx PFT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88768" w14:textId="07343DD5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0.92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5F7DD7" w14:textId="7A34BAE4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0.88, 0.96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6B91E0" w14:textId="1EA197D1" w:rsidR="004F0411" w:rsidRPr="004F0411" w:rsidRDefault="004F0411" w:rsidP="004F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1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80016" w14:textId="08ABDF3F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0.90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B8314C" w14:textId="50CAB8AB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0.86, 0.93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47FA43" w14:textId="12519771" w:rsidR="004F0411" w:rsidRPr="004F0411" w:rsidRDefault="004F0411" w:rsidP="004F04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4F0411" w:rsidRPr="00142937" w14:paraId="772FB22D" w14:textId="77777777" w:rsidTr="005E54BE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97F4FF0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42A5BCA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037AA" w14:textId="50A02B41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1.51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44229" w14:textId="7200F1FF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0.96, 2.38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AEABA" w14:textId="17F1FDD3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0.073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B8E27" w14:textId="342D29F8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1.73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394AEE" w14:textId="4A2F0991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1.18, 2.53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FC615C" w14:textId="4A26F883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0.005</w:t>
            </w:r>
          </w:p>
        </w:tc>
      </w:tr>
      <w:tr w:rsidR="004F0411" w:rsidRPr="00142937" w14:paraId="774A14FF" w14:textId="77777777" w:rsidTr="004D12B0">
        <w:trPr>
          <w:trHeight w:val="165"/>
        </w:trPr>
        <w:tc>
          <w:tcPr>
            <w:tcW w:w="170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7BD36B8B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8D1B5CB" w14:textId="77777777" w:rsidR="004F0411" w:rsidRPr="00142937" w:rsidRDefault="004F0411" w:rsidP="004F041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14293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20% decline in first year</w:t>
            </w:r>
            <w:r w:rsidRPr="00142937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2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82828" w14:textId="355CDB81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3.16</w:t>
            </w:r>
          </w:p>
        </w:tc>
        <w:tc>
          <w:tcPr>
            <w:tcW w:w="18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9404E" w14:textId="13DC243B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1.86, 5.31</w:t>
            </w:r>
          </w:p>
        </w:tc>
        <w:tc>
          <w:tcPr>
            <w:tcW w:w="11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4A589" w14:textId="214F66C6" w:rsidR="004F0411" w:rsidRPr="004F0411" w:rsidRDefault="004F0411" w:rsidP="004F041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F0411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F5142" w14:textId="5282A7A8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2.91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D3EAC" w14:textId="74386461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1.82, 4.62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9A2354" w14:textId="062DA538" w:rsidR="004F0411" w:rsidRPr="004F0411" w:rsidRDefault="004F0411" w:rsidP="004F041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F0411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</w:tbl>
    <w:p w14:paraId="70145F6A" w14:textId="3F763E1E" w:rsidR="004C2F85" w:rsidRPr="00142937" w:rsidRDefault="004C2F85" w:rsidP="004C2F85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†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Adjusted for pre-transplant </w:t>
      </w:r>
      <w:r w:rsidR="004D12B0"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>FEV</w:t>
      </w:r>
      <w:r w:rsidR="004D12B0"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bscript"/>
        </w:rPr>
        <w:t>1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. 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 xml:space="preserve"> 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br/>
      </w:r>
      <w:proofErr w:type="gramStart"/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 xml:space="preserve">‡  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>Adjusted</w:t>
      </w:r>
      <w:proofErr w:type="gramEnd"/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for pre-transplant </w:t>
      </w:r>
      <w:r w:rsidR="004D12B0"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>FVC</w:t>
      </w:r>
      <w:r w:rsidR="004D12B0"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br/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 xml:space="preserve">§ 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>Adjusted for pre-transplant DLCO</w:t>
      </w:r>
      <w:r w:rsidR="004D12B0"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br/>
        <w:t>For pre-transplant and first post-transplant FVC and FEV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  <w:vertAlign w:val="subscript"/>
        </w:rPr>
        <w:t>1</w:t>
      </w:r>
      <w:r w:rsidRPr="00142937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, ORs correspond to mortality risk per liter of the corresponding spirometry value. For pre-transplant and first post-transplant DLCO, ORs correspond mortality risk per mL/min/mmHg. </w:t>
      </w:r>
    </w:p>
    <w:p w14:paraId="4477EA44" w14:textId="7B3AC47C" w:rsidR="004C2F85" w:rsidRPr="00142937" w:rsidRDefault="004C2F85">
      <w:pPr>
        <w:spacing w:line="240" w:lineRule="auto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sectPr w:rsidR="004C2F85" w:rsidRPr="00142937" w:rsidSect="00E466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spiratory Car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6738F"/>
    <w:rsid w:val="00001679"/>
    <w:rsid w:val="00003252"/>
    <w:rsid w:val="00004685"/>
    <w:rsid w:val="00012E32"/>
    <w:rsid w:val="00014792"/>
    <w:rsid w:val="00031762"/>
    <w:rsid w:val="00033E1E"/>
    <w:rsid w:val="0003797E"/>
    <w:rsid w:val="00044D99"/>
    <w:rsid w:val="00081B14"/>
    <w:rsid w:val="00085380"/>
    <w:rsid w:val="00086B9D"/>
    <w:rsid w:val="000923DC"/>
    <w:rsid w:val="000973D0"/>
    <w:rsid w:val="000976ED"/>
    <w:rsid w:val="000A2916"/>
    <w:rsid w:val="000A5F1E"/>
    <w:rsid w:val="000C3B06"/>
    <w:rsid w:val="000C46C6"/>
    <w:rsid w:val="000D3A56"/>
    <w:rsid w:val="000E1468"/>
    <w:rsid w:val="000F1AFD"/>
    <w:rsid w:val="001040CC"/>
    <w:rsid w:val="001371EE"/>
    <w:rsid w:val="001418AB"/>
    <w:rsid w:val="001423D0"/>
    <w:rsid w:val="00142937"/>
    <w:rsid w:val="0014370C"/>
    <w:rsid w:val="001500DF"/>
    <w:rsid w:val="00151B50"/>
    <w:rsid w:val="001528F5"/>
    <w:rsid w:val="00154898"/>
    <w:rsid w:val="001700C0"/>
    <w:rsid w:val="00183786"/>
    <w:rsid w:val="00185486"/>
    <w:rsid w:val="0018581D"/>
    <w:rsid w:val="001A22E2"/>
    <w:rsid w:val="001A7785"/>
    <w:rsid w:val="001B0F19"/>
    <w:rsid w:val="001B3F98"/>
    <w:rsid w:val="001B46F4"/>
    <w:rsid w:val="001C188F"/>
    <w:rsid w:val="001D5C67"/>
    <w:rsid w:val="001E2512"/>
    <w:rsid w:val="001F21D6"/>
    <w:rsid w:val="001F702F"/>
    <w:rsid w:val="002118C7"/>
    <w:rsid w:val="002149E0"/>
    <w:rsid w:val="00216FEB"/>
    <w:rsid w:val="0022472A"/>
    <w:rsid w:val="00263942"/>
    <w:rsid w:val="00277BB2"/>
    <w:rsid w:val="00291DB1"/>
    <w:rsid w:val="00294979"/>
    <w:rsid w:val="0029570D"/>
    <w:rsid w:val="002B4DB8"/>
    <w:rsid w:val="002C408F"/>
    <w:rsid w:val="002C6B03"/>
    <w:rsid w:val="002E4DA8"/>
    <w:rsid w:val="002E6D19"/>
    <w:rsid w:val="002F45A5"/>
    <w:rsid w:val="002F5C88"/>
    <w:rsid w:val="002F77DF"/>
    <w:rsid w:val="00302452"/>
    <w:rsid w:val="0031781A"/>
    <w:rsid w:val="00320832"/>
    <w:rsid w:val="00324E8B"/>
    <w:rsid w:val="003363B9"/>
    <w:rsid w:val="00336ADF"/>
    <w:rsid w:val="00345CEF"/>
    <w:rsid w:val="00352181"/>
    <w:rsid w:val="00357703"/>
    <w:rsid w:val="00357996"/>
    <w:rsid w:val="00366163"/>
    <w:rsid w:val="0036722A"/>
    <w:rsid w:val="00367435"/>
    <w:rsid w:val="00381825"/>
    <w:rsid w:val="003871B6"/>
    <w:rsid w:val="003918D9"/>
    <w:rsid w:val="003B4C52"/>
    <w:rsid w:val="003B4CFD"/>
    <w:rsid w:val="003D1532"/>
    <w:rsid w:val="003D304B"/>
    <w:rsid w:val="00404D2D"/>
    <w:rsid w:val="00412A54"/>
    <w:rsid w:val="004517D4"/>
    <w:rsid w:val="00454CDD"/>
    <w:rsid w:val="004776C8"/>
    <w:rsid w:val="0048371C"/>
    <w:rsid w:val="0049428C"/>
    <w:rsid w:val="004944AA"/>
    <w:rsid w:val="004A5C25"/>
    <w:rsid w:val="004B089E"/>
    <w:rsid w:val="004C2F85"/>
    <w:rsid w:val="004D12B0"/>
    <w:rsid w:val="004D4B2A"/>
    <w:rsid w:val="004E0CEC"/>
    <w:rsid w:val="004F0411"/>
    <w:rsid w:val="004F0BCA"/>
    <w:rsid w:val="004F731D"/>
    <w:rsid w:val="005065F6"/>
    <w:rsid w:val="00507F1A"/>
    <w:rsid w:val="005225D9"/>
    <w:rsid w:val="00524C27"/>
    <w:rsid w:val="005358AD"/>
    <w:rsid w:val="0053683A"/>
    <w:rsid w:val="00554176"/>
    <w:rsid w:val="00556055"/>
    <w:rsid w:val="00557E54"/>
    <w:rsid w:val="00562347"/>
    <w:rsid w:val="005723CE"/>
    <w:rsid w:val="0058417E"/>
    <w:rsid w:val="005960E6"/>
    <w:rsid w:val="005B39BD"/>
    <w:rsid w:val="005B3A0E"/>
    <w:rsid w:val="005B4857"/>
    <w:rsid w:val="005D52BB"/>
    <w:rsid w:val="005F2881"/>
    <w:rsid w:val="005F73B7"/>
    <w:rsid w:val="00601A2F"/>
    <w:rsid w:val="00621779"/>
    <w:rsid w:val="006222E7"/>
    <w:rsid w:val="006420C6"/>
    <w:rsid w:val="00644422"/>
    <w:rsid w:val="0065224D"/>
    <w:rsid w:val="006762DE"/>
    <w:rsid w:val="00684B44"/>
    <w:rsid w:val="00685648"/>
    <w:rsid w:val="00686D1A"/>
    <w:rsid w:val="00694F0A"/>
    <w:rsid w:val="006A6C19"/>
    <w:rsid w:val="006B19F9"/>
    <w:rsid w:val="006B4DBE"/>
    <w:rsid w:val="006C30F5"/>
    <w:rsid w:val="006D2907"/>
    <w:rsid w:val="006D4513"/>
    <w:rsid w:val="006D7E03"/>
    <w:rsid w:val="006E1170"/>
    <w:rsid w:val="006E5CD3"/>
    <w:rsid w:val="006E6FEA"/>
    <w:rsid w:val="006F049F"/>
    <w:rsid w:val="006F4EA1"/>
    <w:rsid w:val="006F785A"/>
    <w:rsid w:val="007014DA"/>
    <w:rsid w:val="00704D9D"/>
    <w:rsid w:val="00717E2C"/>
    <w:rsid w:val="00722D03"/>
    <w:rsid w:val="007248E6"/>
    <w:rsid w:val="0073150B"/>
    <w:rsid w:val="00734FA3"/>
    <w:rsid w:val="00760586"/>
    <w:rsid w:val="0076720B"/>
    <w:rsid w:val="00784AC0"/>
    <w:rsid w:val="00784CE8"/>
    <w:rsid w:val="007973BE"/>
    <w:rsid w:val="007A2788"/>
    <w:rsid w:val="007B763A"/>
    <w:rsid w:val="007B7D5C"/>
    <w:rsid w:val="007C5A8E"/>
    <w:rsid w:val="007C618C"/>
    <w:rsid w:val="007D4625"/>
    <w:rsid w:val="007F5442"/>
    <w:rsid w:val="00812BBB"/>
    <w:rsid w:val="00817C99"/>
    <w:rsid w:val="0082097F"/>
    <w:rsid w:val="008257B7"/>
    <w:rsid w:val="00830B5C"/>
    <w:rsid w:val="0085194D"/>
    <w:rsid w:val="00852A68"/>
    <w:rsid w:val="008630EF"/>
    <w:rsid w:val="008649C4"/>
    <w:rsid w:val="00875B39"/>
    <w:rsid w:val="008875FA"/>
    <w:rsid w:val="008A141F"/>
    <w:rsid w:val="008A29F5"/>
    <w:rsid w:val="008B018E"/>
    <w:rsid w:val="008B2F6D"/>
    <w:rsid w:val="008E73FE"/>
    <w:rsid w:val="008F0B8D"/>
    <w:rsid w:val="008F6B5A"/>
    <w:rsid w:val="00900466"/>
    <w:rsid w:val="0090192B"/>
    <w:rsid w:val="009027D8"/>
    <w:rsid w:val="0091693E"/>
    <w:rsid w:val="00931E6A"/>
    <w:rsid w:val="00934B19"/>
    <w:rsid w:val="0094447B"/>
    <w:rsid w:val="00951E26"/>
    <w:rsid w:val="00955BCB"/>
    <w:rsid w:val="00960A7A"/>
    <w:rsid w:val="00966717"/>
    <w:rsid w:val="0096738F"/>
    <w:rsid w:val="00973F12"/>
    <w:rsid w:val="00980458"/>
    <w:rsid w:val="009827AE"/>
    <w:rsid w:val="009C50A2"/>
    <w:rsid w:val="009C5A6B"/>
    <w:rsid w:val="009D1CEC"/>
    <w:rsid w:val="009E15CA"/>
    <w:rsid w:val="009E23A7"/>
    <w:rsid w:val="009F2A01"/>
    <w:rsid w:val="00A0124A"/>
    <w:rsid w:val="00A04EF2"/>
    <w:rsid w:val="00A05FB7"/>
    <w:rsid w:val="00A066C7"/>
    <w:rsid w:val="00A15A74"/>
    <w:rsid w:val="00A21257"/>
    <w:rsid w:val="00A27B5F"/>
    <w:rsid w:val="00A32B74"/>
    <w:rsid w:val="00A34514"/>
    <w:rsid w:val="00A36E3D"/>
    <w:rsid w:val="00A46200"/>
    <w:rsid w:val="00A5480B"/>
    <w:rsid w:val="00A5710B"/>
    <w:rsid w:val="00A92C72"/>
    <w:rsid w:val="00AA244B"/>
    <w:rsid w:val="00AA5489"/>
    <w:rsid w:val="00AA57E2"/>
    <w:rsid w:val="00AB28A4"/>
    <w:rsid w:val="00AC0743"/>
    <w:rsid w:val="00AD3B03"/>
    <w:rsid w:val="00AD5161"/>
    <w:rsid w:val="00AD7F69"/>
    <w:rsid w:val="00AE610F"/>
    <w:rsid w:val="00AF2D8E"/>
    <w:rsid w:val="00B02128"/>
    <w:rsid w:val="00B06074"/>
    <w:rsid w:val="00B06B56"/>
    <w:rsid w:val="00B16045"/>
    <w:rsid w:val="00B203D4"/>
    <w:rsid w:val="00B2571B"/>
    <w:rsid w:val="00B33F65"/>
    <w:rsid w:val="00B37C93"/>
    <w:rsid w:val="00B55B90"/>
    <w:rsid w:val="00B60E3A"/>
    <w:rsid w:val="00B646D4"/>
    <w:rsid w:val="00B71F20"/>
    <w:rsid w:val="00B7710D"/>
    <w:rsid w:val="00B803B0"/>
    <w:rsid w:val="00B93571"/>
    <w:rsid w:val="00B96D00"/>
    <w:rsid w:val="00B96F06"/>
    <w:rsid w:val="00B97826"/>
    <w:rsid w:val="00BA1499"/>
    <w:rsid w:val="00BB4F2F"/>
    <w:rsid w:val="00BE489B"/>
    <w:rsid w:val="00BE6C2F"/>
    <w:rsid w:val="00BF0CCF"/>
    <w:rsid w:val="00C0441E"/>
    <w:rsid w:val="00C05E55"/>
    <w:rsid w:val="00C21486"/>
    <w:rsid w:val="00C2735A"/>
    <w:rsid w:val="00C37DC7"/>
    <w:rsid w:val="00C40571"/>
    <w:rsid w:val="00C45D3E"/>
    <w:rsid w:val="00C509EA"/>
    <w:rsid w:val="00C57770"/>
    <w:rsid w:val="00C72008"/>
    <w:rsid w:val="00C93E05"/>
    <w:rsid w:val="00C950AC"/>
    <w:rsid w:val="00C957AD"/>
    <w:rsid w:val="00CA59E0"/>
    <w:rsid w:val="00CB051E"/>
    <w:rsid w:val="00CB1B7A"/>
    <w:rsid w:val="00CC4B76"/>
    <w:rsid w:val="00CC57AD"/>
    <w:rsid w:val="00CD08A5"/>
    <w:rsid w:val="00CE36A0"/>
    <w:rsid w:val="00CF3E96"/>
    <w:rsid w:val="00D03880"/>
    <w:rsid w:val="00D066E0"/>
    <w:rsid w:val="00D27CF2"/>
    <w:rsid w:val="00D33B23"/>
    <w:rsid w:val="00D36DC4"/>
    <w:rsid w:val="00D506A7"/>
    <w:rsid w:val="00D6478A"/>
    <w:rsid w:val="00D6560A"/>
    <w:rsid w:val="00D664E7"/>
    <w:rsid w:val="00D71173"/>
    <w:rsid w:val="00D83335"/>
    <w:rsid w:val="00DC1509"/>
    <w:rsid w:val="00DC203F"/>
    <w:rsid w:val="00DC50C2"/>
    <w:rsid w:val="00DD21FF"/>
    <w:rsid w:val="00DD38E0"/>
    <w:rsid w:val="00DD4A30"/>
    <w:rsid w:val="00DD6D24"/>
    <w:rsid w:val="00DF6328"/>
    <w:rsid w:val="00DF737F"/>
    <w:rsid w:val="00E20BCA"/>
    <w:rsid w:val="00E21C14"/>
    <w:rsid w:val="00E2229C"/>
    <w:rsid w:val="00E24DB0"/>
    <w:rsid w:val="00E456AF"/>
    <w:rsid w:val="00E46645"/>
    <w:rsid w:val="00E53327"/>
    <w:rsid w:val="00E54A53"/>
    <w:rsid w:val="00E64B4B"/>
    <w:rsid w:val="00E66069"/>
    <w:rsid w:val="00E6618D"/>
    <w:rsid w:val="00E80493"/>
    <w:rsid w:val="00E94829"/>
    <w:rsid w:val="00E94A7C"/>
    <w:rsid w:val="00E94CB5"/>
    <w:rsid w:val="00EA5C7A"/>
    <w:rsid w:val="00EB0A27"/>
    <w:rsid w:val="00EB3675"/>
    <w:rsid w:val="00EC6459"/>
    <w:rsid w:val="00ED04B4"/>
    <w:rsid w:val="00EE5A4C"/>
    <w:rsid w:val="00EE68EC"/>
    <w:rsid w:val="00EF6B5C"/>
    <w:rsid w:val="00F12712"/>
    <w:rsid w:val="00F136F1"/>
    <w:rsid w:val="00F25244"/>
    <w:rsid w:val="00F26248"/>
    <w:rsid w:val="00F412AA"/>
    <w:rsid w:val="00F51B0C"/>
    <w:rsid w:val="00F7567D"/>
    <w:rsid w:val="00F82EB7"/>
    <w:rsid w:val="00FA5ABA"/>
    <w:rsid w:val="00FC0CA3"/>
    <w:rsid w:val="00FC315E"/>
    <w:rsid w:val="00FD3ABD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415E"/>
  <w15:chartTrackingRefBased/>
  <w15:docId w15:val="{8E8621CF-14FE-8E4C-B461-4C42819A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8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7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6738F"/>
    <w:rPr>
      <w:rFonts w:ascii="Times New Roman" w:eastAsia="Times New Roman" w:hAnsi="Times New Roman" w:cs="Times New Roman"/>
      <w:lang w:val="x-none" w:eastAsia="x-none"/>
    </w:rPr>
  </w:style>
  <w:style w:type="paragraph" w:customStyle="1" w:styleId="EndNoteBibliographyTitle">
    <w:name w:val="EndNote Bibliography Title"/>
    <w:basedOn w:val="Normal"/>
    <w:link w:val="EndNoteBibliographyTitleChar"/>
    <w:rsid w:val="00C57770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BodyText2Char"/>
    <w:link w:val="EndNoteBibliographyTitle"/>
    <w:rsid w:val="00C57770"/>
    <w:rPr>
      <w:rFonts w:ascii="Arial" w:eastAsia="Arial" w:hAnsi="Arial" w:cs="Arial"/>
      <w:sz w:val="22"/>
      <w:szCs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C57770"/>
    <w:pPr>
      <w:spacing w:line="240" w:lineRule="auto"/>
    </w:pPr>
    <w:rPr>
      <w:lang w:val="en-US"/>
    </w:rPr>
  </w:style>
  <w:style w:type="character" w:customStyle="1" w:styleId="EndNoteBibliographyChar">
    <w:name w:val="EndNote Bibliography Char"/>
    <w:basedOn w:val="BodyText2Char"/>
    <w:link w:val="EndNoteBibliography"/>
    <w:rsid w:val="00C57770"/>
    <w:rPr>
      <w:rFonts w:ascii="Arial" w:eastAsia="Arial" w:hAnsi="Arial" w:cs="Arial"/>
      <w:sz w:val="22"/>
      <w:szCs w:val="22"/>
      <w:lang w:val="x-none" w:eastAsia="x-none"/>
    </w:rPr>
  </w:style>
  <w:style w:type="paragraph" w:customStyle="1" w:styleId="Compact">
    <w:name w:val="Compact"/>
    <w:basedOn w:val="Normal"/>
    <w:uiPriority w:val="1"/>
    <w:qFormat/>
    <w:rsid w:val="006B19F9"/>
    <w:pPr>
      <w:spacing w:before="36" w:after="36" w:line="259" w:lineRule="auto"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6B19F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Yadav, Hemang, M.B.B.S.</cp:lastModifiedBy>
  <cp:revision>30</cp:revision>
  <dcterms:created xsi:type="dcterms:W3CDTF">2022-11-07T14:03:00Z</dcterms:created>
  <dcterms:modified xsi:type="dcterms:W3CDTF">2023-02-16T21:14:00Z</dcterms:modified>
</cp:coreProperties>
</file>