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E0617" w14:textId="5591F793" w:rsidR="00DA5ECC" w:rsidRPr="00D521BD" w:rsidRDefault="00A92999" w:rsidP="007F7B58">
      <w:pPr>
        <w:spacing w:line="480" w:lineRule="auto"/>
        <w:rPr>
          <w:rFonts w:ascii="Times New Roman" w:hAnsi="Times New Roman" w:cs="Times New Roman"/>
          <w:b/>
          <w:lang w:val="en-US"/>
        </w:rPr>
      </w:pPr>
      <w:bookmarkStart w:id="0" w:name="_GoBack"/>
      <w:bookmarkEnd w:id="0"/>
      <w:r w:rsidRPr="00D521BD">
        <w:rPr>
          <w:rFonts w:ascii="Times New Roman" w:hAnsi="Times New Roman" w:cs="Times New Roman"/>
          <w:b/>
          <w:lang w:val="en-US"/>
        </w:rPr>
        <w:t>Table S5</w:t>
      </w:r>
      <w:r w:rsidR="00DA5ECC" w:rsidRPr="00D521BD">
        <w:rPr>
          <w:rFonts w:ascii="Times New Roman" w:hAnsi="Times New Roman" w:cs="Times New Roman"/>
          <w:b/>
          <w:lang w:val="en-US"/>
        </w:rPr>
        <w:t xml:space="preserve">. </w:t>
      </w:r>
      <w:r w:rsidR="00D521BD" w:rsidRPr="00D521BD">
        <w:rPr>
          <w:rFonts w:ascii="Times New Roman" w:hAnsi="Times New Roman" w:cs="Times New Roman"/>
          <w:b/>
          <w:lang w:val="en-US"/>
        </w:rPr>
        <w:t xml:space="preserve">Adverse </w:t>
      </w:r>
      <w:r w:rsidR="00E937F9" w:rsidRPr="00D521BD">
        <w:rPr>
          <w:rFonts w:ascii="Times New Roman" w:hAnsi="Times New Roman" w:cs="Times New Roman"/>
          <w:b/>
          <w:lang w:val="en-US"/>
        </w:rPr>
        <w:t xml:space="preserve">Event Proportion </w:t>
      </w:r>
      <w:r w:rsidR="00E937F9">
        <w:rPr>
          <w:rFonts w:ascii="Times New Roman" w:hAnsi="Times New Roman" w:cs="Times New Roman"/>
          <w:b/>
          <w:lang w:val="en-US"/>
        </w:rPr>
        <w:t>of Prone Positioning Reported by</w:t>
      </w:r>
      <w:r w:rsidR="00E937F9" w:rsidRPr="00D521BD">
        <w:rPr>
          <w:rFonts w:ascii="Times New Roman" w:hAnsi="Times New Roman" w:cs="Times New Roman"/>
          <w:b/>
          <w:lang w:val="en-US"/>
        </w:rPr>
        <w:t xml:space="preserve"> Previous Systematic Reviews </w:t>
      </w:r>
      <w:r w:rsidR="00E937F9">
        <w:rPr>
          <w:rFonts w:ascii="Times New Roman" w:hAnsi="Times New Roman" w:cs="Times New Roman"/>
          <w:b/>
          <w:lang w:val="en-US"/>
        </w:rPr>
        <w:t>Compared with t</w:t>
      </w:r>
      <w:r w:rsidR="00E937F9" w:rsidRPr="00D521BD">
        <w:rPr>
          <w:rFonts w:ascii="Times New Roman" w:hAnsi="Times New Roman" w:cs="Times New Roman"/>
          <w:b/>
          <w:lang w:val="en-US"/>
        </w:rPr>
        <w:t>he Current Scoping Review</w:t>
      </w:r>
      <w:r w:rsidR="006D59F2" w:rsidRPr="00D521BD">
        <w:rPr>
          <w:rFonts w:ascii="Times New Roman" w:hAnsi="Times New Roman" w:cs="Times New Roman"/>
          <w:lang w:val="en-US"/>
        </w:rPr>
        <w:t>*</w:t>
      </w:r>
    </w:p>
    <w:tbl>
      <w:tblPr>
        <w:tblStyle w:val="Tablaconcuadrcula"/>
        <w:tblW w:w="14420" w:type="dxa"/>
        <w:jc w:val="center"/>
        <w:tblInd w:w="7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9"/>
        <w:gridCol w:w="1519"/>
        <w:gridCol w:w="850"/>
        <w:gridCol w:w="1418"/>
        <w:gridCol w:w="850"/>
        <w:gridCol w:w="1418"/>
        <w:gridCol w:w="1086"/>
        <w:gridCol w:w="1418"/>
        <w:gridCol w:w="850"/>
        <w:gridCol w:w="1418"/>
        <w:gridCol w:w="1134"/>
      </w:tblGrid>
      <w:tr w:rsidR="00F15079" w:rsidRPr="0023666E" w14:paraId="09EF5A80" w14:textId="77777777" w:rsidTr="003C6084">
        <w:trPr>
          <w:trHeight w:val="300"/>
          <w:jc w:val="center"/>
        </w:trPr>
        <w:tc>
          <w:tcPr>
            <w:tcW w:w="2459" w:type="dxa"/>
            <w:tcBorders>
              <w:top w:val="single" w:sz="4" w:space="0" w:color="auto"/>
              <w:bottom w:val="nil"/>
            </w:tcBorders>
            <w:noWrap/>
            <w:hideMark/>
          </w:tcPr>
          <w:p w14:paraId="1C8B17B7" w14:textId="77777777" w:rsidR="00ED7CC7" w:rsidRPr="0023666E" w:rsidRDefault="00ED7CC7" w:rsidP="00821540">
            <w:pPr>
              <w:spacing w:line="480" w:lineRule="auto"/>
              <w:rPr>
                <w:rFonts w:ascii="Times New Roman" w:hAnsi="Times New Roman" w:cs="Times New Roman"/>
                <w:sz w:val="22"/>
                <w:szCs w:val="22"/>
                <w:lang w:val="en-US"/>
              </w:rPr>
            </w:pPr>
            <w:r w:rsidRPr="0023666E">
              <w:rPr>
                <w:rFonts w:ascii="Times New Roman" w:hAnsi="Times New Roman" w:cs="Times New Roman"/>
                <w:sz w:val="22"/>
                <w:szCs w:val="22"/>
                <w:lang w:val="en-US"/>
              </w:rPr>
              <w:t> </w:t>
            </w:r>
          </w:p>
        </w:tc>
        <w:tc>
          <w:tcPr>
            <w:tcW w:w="2369" w:type="dxa"/>
            <w:gridSpan w:val="2"/>
            <w:tcBorders>
              <w:bottom w:val="single" w:sz="4" w:space="0" w:color="auto"/>
            </w:tcBorders>
            <w:noWrap/>
            <w:hideMark/>
          </w:tcPr>
          <w:p w14:paraId="1F199B41" w14:textId="06BF2724" w:rsidR="00ED7CC7" w:rsidRPr="0023666E" w:rsidRDefault="00ED7CC7" w:rsidP="0022489C">
            <w:pPr>
              <w:spacing w:line="480" w:lineRule="auto"/>
              <w:jc w:val="center"/>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Lee, 2014</w:t>
            </w:r>
            <w:r w:rsidR="00E955AC" w:rsidRPr="0023666E">
              <w:rPr>
                <w:rFonts w:ascii="Times New Roman" w:hAnsi="Times New Roman" w:cs="Times New Roman"/>
                <w:b/>
                <w:bCs/>
                <w:sz w:val="22"/>
                <w:szCs w:val="22"/>
                <w:lang w:val="en-US"/>
              </w:rPr>
              <w:fldChar w:fldCharType="begin" w:fldLock="1"/>
            </w:r>
            <w:r w:rsidR="0022489C">
              <w:rPr>
                <w:rFonts w:ascii="Times New Roman" w:hAnsi="Times New Roman" w:cs="Times New Roman"/>
                <w:b/>
                <w:bCs/>
                <w:sz w:val="22"/>
                <w:szCs w:val="22"/>
                <w:lang w:val="en-US"/>
              </w:rPr>
              <w:instrText>ADDIN CSL_CITATION {"citationItems":[{"id":"ITEM-1","itemData":{"DOI":"10.1097/CCM.0000000000000122","ISSN":"0090-3493","PMID":"25922713","abstract":"BACKGROUND Prone positioning for acute respiratory distress syndrome (ARDS) has no impact on mortality despite significant improvements in oxygenation. However, a recent trial demonstrated reduced mortality rates in the prone position for severe ARDS. We evaluated effects of prone position duration and protective lung strategies on mortality rates in ARDS. METHODS We extensively searched MEDLINE, EMBASE, and the Cochrane Central Register of Controlled Trials to identify randomized controlled trials (RCTs) reporting on prone positioning during acute respiratory failure in adults for inclusion in our meta-analysis. RESULTS Eight trials met our inclusion criteria, Totals of 1,099 and 1,042 patients were randomized to the prone and supine ventilation positions. The mortality rates associated with the prone and supine positions were 41% and 47% [risk ratio (RR), 0.90; 95% confidence interval (CI), 0.82-0.98, P=0.02], but the heterogeneity was moderate (P=0.01, I(2)=61%). In a subgroup analysis, the mortality rates for lung protective ventilation (RR 0.73, 95% CI, 0.62-0.86, P=0.0002) and duration of prone positioning &gt;12 h (RR 0.75, 95% CI, 0.65-0.87, P&lt;0.0001) were reduced in the prone position. Prone positioning was not associated with an increased incidence of cardiac events (RR 1.01, 95% CI, 0.87-1.17) or ventilator associated pneumonia (RR 0.88, 95% CI, 0.71-1.09), but it was associated with an increased incidence of pressure sores (RR 1.23, 95% CI, 1.07-1.41) and endotracheal dislocation (RR 1.33, 95% CI, 1.02-1.74). CONCLUSIONS Prone positioning tends to reduce the mortality rates in ARDS patients, especially when used in conjunction with a lung protective strategy and longer prone position durations. Prone positioning for ARDS patients should be prioritized over other invasive procedures because related life-threatening complications are rare. However, further additional randomized controlled design to study are required for confirm benefit of prone position in ARDS.","author":[{"dropping-particle":"","family":"Lee","given":"Joo Myung","non-dropping-particle":"","parse-names":false,"suffix":""},{"dropping-particle":"","family":"Bae","given":"Won","non-dropping-particle":"","parse-names":false,"suffix":""},{"dropping-particle":"","family":"Lee","given":"Yeon Joo","non-dropping-particle":"","parse-names":false,"suffix":""},{"dropping-particle":"","family":"Cho","given":"Young-Jae","non-dropping-particle":"","parse-names":false,"suffix":""}],"container-title":"Critical Care Medicine","id":"ITEM-1","issue":"5","issued":{"date-parts":[["2014","5"]]},"page":"1252-1262","title":"The Efficacy and Safety of Prone Positional Ventilation in Acute Respiratory Distress Syndrome","type":"article-journal","volume":"42"},"uris":["http://www.mendeley.com/documents/?uuid=8b20cc3c-eee5-41e1-b653-7a08aa2aac70"]}],"mendeley":{"formattedCitation":"&lt;sup&gt;1&lt;/sup&gt;","plainTextFormattedCitation":"1","previouslyFormattedCitation":"&lt;sup&gt;&lt;sup&gt;1&lt;/sup&gt;&lt;/sup&gt;"},"properties":{"noteIndex":0},"schema":"https://github.com/citation-style-language/schema/raw/master/csl-citation.json"}</w:instrText>
            </w:r>
            <w:r w:rsidR="00E955AC" w:rsidRPr="0023666E">
              <w:rPr>
                <w:rFonts w:ascii="Times New Roman" w:hAnsi="Times New Roman" w:cs="Times New Roman"/>
                <w:b/>
                <w:bCs/>
                <w:sz w:val="22"/>
                <w:szCs w:val="22"/>
                <w:lang w:val="en-US"/>
              </w:rPr>
              <w:fldChar w:fldCharType="separate"/>
            </w:r>
            <w:r w:rsidR="0022489C" w:rsidRPr="0022489C">
              <w:rPr>
                <w:rFonts w:ascii="Times New Roman" w:hAnsi="Times New Roman" w:cs="Times New Roman"/>
                <w:bCs/>
                <w:noProof/>
                <w:sz w:val="22"/>
                <w:szCs w:val="22"/>
                <w:vertAlign w:val="superscript"/>
                <w:lang w:val="en-US"/>
              </w:rPr>
              <w:t>1</w:t>
            </w:r>
            <w:r w:rsidR="00E955AC" w:rsidRPr="0023666E">
              <w:rPr>
                <w:rFonts w:ascii="Times New Roman" w:hAnsi="Times New Roman" w:cs="Times New Roman"/>
                <w:b/>
                <w:bCs/>
                <w:sz w:val="22"/>
                <w:szCs w:val="22"/>
                <w:lang w:val="en-US"/>
              </w:rPr>
              <w:fldChar w:fldCharType="end"/>
            </w:r>
          </w:p>
        </w:tc>
        <w:tc>
          <w:tcPr>
            <w:tcW w:w="2268" w:type="dxa"/>
            <w:gridSpan w:val="2"/>
            <w:tcBorders>
              <w:bottom w:val="single" w:sz="4" w:space="0" w:color="auto"/>
            </w:tcBorders>
            <w:noWrap/>
            <w:hideMark/>
          </w:tcPr>
          <w:p w14:paraId="3465C2F0" w14:textId="0DC591DE" w:rsidR="00ED7CC7" w:rsidRPr="0023666E" w:rsidRDefault="00ED7CC7" w:rsidP="0022489C">
            <w:pPr>
              <w:spacing w:line="480" w:lineRule="auto"/>
              <w:jc w:val="center"/>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Park, 2015</w:t>
            </w:r>
            <w:r w:rsidR="00E955AC" w:rsidRPr="0023666E">
              <w:rPr>
                <w:rFonts w:ascii="Times New Roman" w:hAnsi="Times New Roman" w:cs="Times New Roman"/>
                <w:b/>
                <w:bCs/>
                <w:sz w:val="22"/>
                <w:szCs w:val="22"/>
                <w:lang w:val="en-US"/>
              </w:rPr>
              <w:fldChar w:fldCharType="begin" w:fldLock="1"/>
            </w:r>
            <w:r w:rsidR="0022489C">
              <w:rPr>
                <w:rFonts w:ascii="Times New Roman" w:hAnsi="Times New Roman" w:cs="Times New Roman"/>
                <w:b/>
                <w:bCs/>
                <w:sz w:val="22"/>
                <w:szCs w:val="22"/>
                <w:lang w:val="en-US"/>
              </w:rPr>
              <w:instrText>ADDIN CSL_CITATION {"citationItems":[{"id":"ITEM-1","itemData":{"DOI":"10.3978/j.issn.2072-1439.2014.12.49","ISSN":"2072-1439","PMID":"25922713","abstract":"BACKGROUND Prone positioning for acute respiratory distress syndrome (ARDS) has no impact on mortality despite significant improvements in oxygenation. However, a recent trial demonstrated reduced mortality rates in the prone position for severe ARDS. We evaluated effects of prone position duration and protective lung strategies on mortality rates in ARDS. METHODS We extensively searched MEDLINE, EMBASE, and the Cochrane Central Register of Controlled Trials to identify randomized controlled trials (RCTs) reporting on prone positioning during acute respiratory failure in adults for inclusion in our meta-analysis. RESULTS Eight trials met our inclusion criteria, Totals of 1,099 and 1,042 patients were randomized to the prone and supine ventilation positions. The mortality rates associated with the prone and supine positions were 41% and 47% [risk ratio (RR), 0.90; 95% confidence interval (CI), 0.82-0.98, P=0.02], but the heterogeneity was moderate (P=0.01, I(2)=61%). In a subgroup analysis, the mortality rates for lung protective ventilation (RR 0.73, 95% CI, 0.62-0.86, P=0.0002) and duration of prone positioning &gt;12 h (RR 0.75, 95% CI, 0.65-0.87, P&lt;0.0001) were reduced in the prone position. Prone positioning was not associated with an increased incidence of cardiac events (RR 1.01, 95% CI, 0.87-1.17) or ventilator associated pneumonia (RR 0.88, 95% CI, 0.71-1.09), but it was associated with an increased incidence of pressure sores (RR 1.23, 95% CI, 1.07-1.41) and endotracheal dislocation (RR 1.33, 95% CI, 1.02-1.74). CONCLUSIONS Prone positioning tends to reduce the mortality rates in ARDS patients, especially when used in conjunction with a lung protective strategy and longer prone position durations. Prone positioning for ARDS patients should be prioritized over other invasive procedures because related life-threatening complications are rare. However, further additional randomized controlled design to study are required for confirm benefit of prone position in ARDS.","author":[{"dropping-particle":"","family":"Park","given":"So Young","non-dropping-particle":"","parse-names":false,"suffix":""},{"dropping-particle":"","family":"Kim","given":"Hyun Jung","non-dropping-particle":"","parse-names":false,"suffix":""},{"dropping-particle":"","family":"Yoo","given":"Kwan Ha","non-dropping-particle":"","parse-names":false,"suffix":""},{"dropping-particle":"","family":"Park","given":"Yong Bum","non-dropping-particle":"","parse-names":false,"suffix":""},{"dropping-particle":"","family":"Kim","given":"Seo Woo","non-dropping-particle":"","parse-names":false,"suffix":""},{"dropping-particle":"","family":"Lee","given":"Seok Jeong","non-dropping-particle":"","parse-names":false,"suffix":""},{"dropping-particle":"","family":"Kim","given":"Eun Kyung","non-dropping-particle":"","parse-names":false,"suffix":""},{"dropping-particle":"","family":"Kim","given":"Jung Hyun","non-dropping-particle":"","parse-names":false,"suffix":""},{"dropping-particle":"","family":"Kim","given":"Yee Hyung","non-dropping-particle":"","parse-names":false,"suffix":""},{"dropping-particle":"","family":"Moon","given":"Ji-Yong","non-dropping-particle":"","parse-names":false,"suffix":""},{"dropping-particle":"","family":"Min","given":"Kyung Hoon","non-dropping-particle":"","parse-names":false,"suffix":""},{"dropping-particle":"","family":"Park","given":"Sung Soo","non-dropping-particle":"","parse-names":false,"suffix":""},{"dropping-particle":"","family":"Lee","given":"Jinwoo","non-dropping-particle":"","parse-names":false,"suffix":""},{"dropping-particle":"","family":"Lee","given":"Chang-Hoon","non-dropping-particle":"","parse-names":false,"suffix":""},{"dropping-particle":"","family":"Park","given":"Jinkyeong","non-dropping-particle":"","parse-names":false,"suffix":""},{"dropping-particle":"","family":"Byun","given":"Min Kwang","non-dropping-particle":"","parse-names":false,"suffix":""},{"dropping-particle":"","family":"Lee","given":"Sei Won","non-dropping-particle":"","parse-names":false,"suffix":""},{"dropping-particle":"","family":"Rlee","given":"ChinKook","non-dropping-particle":"","parse-names":false,"suffix":""},{"dropping-particle":"","family":"Jung","given":"Ji Ye","non-dropping-particle":"","parse-names":false,"suffix":""},{"dropping-particle":"","family":"Sim","given":"Yun Su","non-dropping-particle":"","parse-names":false,"suffix":""}],"container-title":"Journal of thoracic disease","id":"ITEM-1","issue":"3","issued":{"date-parts":[["2015","3"]]},"page":"356-67","title":"The efficacy and safety of prone positioning in adults patients with acute respiratory distress syndrome: a meta-analysis of randomized controlled trials","type":"article-journal","volume":"7"},"uris":["http://www.mendeley.com/documents/?uuid=fc3dd973-d9b7-4a07-beac-69ad772b6964"]}],"mendeley":{"formattedCitation":"&lt;sup&gt;2&lt;/sup&gt;","plainTextFormattedCitation":"2","previouslyFormattedCitation":"&lt;sup&gt;&lt;sup&gt;2&lt;/sup&gt;&lt;/sup&gt;"},"properties":{"noteIndex":0},"schema":"https://github.com/citation-style-language/schema/raw/master/csl-citation.json"}</w:instrText>
            </w:r>
            <w:r w:rsidR="00E955AC" w:rsidRPr="0023666E">
              <w:rPr>
                <w:rFonts w:ascii="Times New Roman" w:hAnsi="Times New Roman" w:cs="Times New Roman"/>
                <w:b/>
                <w:bCs/>
                <w:sz w:val="22"/>
                <w:szCs w:val="22"/>
                <w:lang w:val="en-US"/>
              </w:rPr>
              <w:fldChar w:fldCharType="separate"/>
            </w:r>
            <w:r w:rsidR="0022489C" w:rsidRPr="0022489C">
              <w:rPr>
                <w:rFonts w:ascii="Times New Roman" w:hAnsi="Times New Roman" w:cs="Times New Roman"/>
                <w:bCs/>
                <w:noProof/>
                <w:sz w:val="22"/>
                <w:szCs w:val="22"/>
                <w:vertAlign w:val="superscript"/>
                <w:lang w:val="en-US"/>
              </w:rPr>
              <w:t>2</w:t>
            </w:r>
            <w:r w:rsidR="00E955AC" w:rsidRPr="0023666E">
              <w:rPr>
                <w:rFonts w:ascii="Times New Roman" w:hAnsi="Times New Roman" w:cs="Times New Roman"/>
                <w:b/>
                <w:bCs/>
                <w:sz w:val="22"/>
                <w:szCs w:val="22"/>
                <w:lang w:val="en-US"/>
              </w:rPr>
              <w:fldChar w:fldCharType="end"/>
            </w:r>
          </w:p>
        </w:tc>
        <w:tc>
          <w:tcPr>
            <w:tcW w:w="2504" w:type="dxa"/>
            <w:gridSpan w:val="2"/>
            <w:tcBorders>
              <w:bottom w:val="single" w:sz="4" w:space="0" w:color="auto"/>
            </w:tcBorders>
            <w:noWrap/>
            <w:hideMark/>
          </w:tcPr>
          <w:p w14:paraId="3EF43F1D" w14:textId="7C93AB74" w:rsidR="00ED7CC7" w:rsidRPr="0023666E" w:rsidRDefault="00ED7CC7" w:rsidP="0022489C">
            <w:pPr>
              <w:spacing w:line="480" w:lineRule="auto"/>
              <w:jc w:val="center"/>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Mora-Arteaga, 2015</w:t>
            </w:r>
            <w:r w:rsidR="00E955AC" w:rsidRPr="0023666E">
              <w:rPr>
                <w:rFonts w:ascii="Times New Roman" w:hAnsi="Times New Roman" w:cs="Times New Roman"/>
                <w:b/>
                <w:bCs/>
                <w:sz w:val="22"/>
                <w:szCs w:val="22"/>
                <w:lang w:val="en-US"/>
              </w:rPr>
              <w:fldChar w:fldCharType="begin" w:fldLock="1"/>
            </w:r>
            <w:r w:rsidR="0022489C">
              <w:rPr>
                <w:rFonts w:ascii="Times New Roman" w:hAnsi="Times New Roman" w:cs="Times New Roman"/>
                <w:b/>
                <w:bCs/>
                <w:sz w:val="22"/>
                <w:szCs w:val="22"/>
                <w:lang w:val="en-US"/>
              </w:rPr>
              <w:instrText>ADDIN CSL_CITATION {"citationItems":[{"id":"ITEM-1","itemData":{"DOI":"10.1016/j.medin.2014.11.003","ISSN":"15786749","PMID":"25599942","abstract":"Introduction: Prone position ventilation has been shown to improve oxygenation and ventilatory mechanics in patients with acute respiratory distress syndrome. We evaluated whether prone ventilation reduces the risk of mortality in adult patients with acute respiratory distress syndrome versus supine ventilation. Methodology: A metaanalysis of randomized controlled trials comparing patients in supine versus prone position was performed. A search was conducted of the Pubmed, Embase, Cochrane Library, and LILACS databases. Mortality, hospital length of stay, days of mechanical ventilation and adverse effects were evaluated. Results: Seven randomized controlled trials (2,119 patients) were included in the analysis. The prone position showed a nonsignificant tendency to reduce mortality (OR: 0.76; 95%CI: 0.54 to 1.06; P=.11, I2 63%). When stratified by subgroups, a significant decrease was seen in the risk of mortality in patients ventilated with low tidal volume (OR: 0.58; 95%CI: 0.38 to 0.87; P=.009, I2 33%), prolonged pronation (OR: 0.6; 95%CI: 0.43 to 0.83; p=.002, I2 27%), start within the first 48hours of disease evolution (OR 0.49; 95%CI 0.35 to 0.68; P=.0001, I2 0%) and severe hypoxemia (OR: 0.51: 95%CI: 0.36 to 1.25; P=.0001, I2 0%). Adverse effects associated with pronation were the development of pressure ulcers and endotracheal tube obstruction. Conclusions: Prone position ventilation is a safe strategy and reduces mortality in patients with severely impaired oxygenation. It should be started early, for prolonged periods, and should be associated to a protective ventilation strategy.","author":[{"dropping-particle":"","family":"Mora-Arteaga","given":"J. A.","non-dropping-particle":"","parse-names":false,"suffix":""},{"dropping-particle":"","family":"Bernal-Ramírez","given":"O. J.","non-dropping-particle":"","parse-names":false,"suffix":""},{"dropping-particle":"","family":"Rodríguez","given":"S. J.","non-dropping-particle":"","parse-names":false,"suffix":""}],"container-title":"Medicina Intensiva","id":"ITEM-1","issue":"6","issued":{"date-parts":[["2015"]]},"page":"352-365","publisher":"SEGO","title":"Efecto de la ventilación mecánica en posición prona en pacientes con síndrome de dificultad respiratoria aguda. Una revisión sistemática y metanálisis","type":"article-journal","volume":"39"},"uris":["http://www.mendeley.com/documents/?uuid=531451a9-98e9-4df4-ad58-cb481c6ac3ac"]}],"mendeley":{"formattedCitation":"&lt;sup&gt;3&lt;/sup&gt;","plainTextFormattedCitation":"3","previouslyFormattedCitation":"&lt;sup&gt;&lt;sup&gt;3&lt;/sup&gt;&lt;/sup&gt;"},"properties":{"noteIndex":0},"schema":"https://github.com/citation-style-language/schema/raw/master/csl-citation.json"}</w:instrText>
            </w:r>
            <w:r w:rsidR="00E955AC" w:rsidRPr="0023666E">
              <w:rPr>
                <w:rFonts w:ascii="Times New Roman" w:hAnsi="Times New Roman" w:cs="Times New Roman"/>
                <w:b/>
                <w:bCs/>
                <w:sz w:val="22"/>
                <w:szCs w:val="22"/>
                <w:lang w:val="en-US"/>
              </w:rPr>
              <w:fldChar w:fldCharType="separate"/>
            </w:r>
            <w:r w:rsidR="0022489C" w:rsidRPr="0022489C">
              <w:rPr>
                <w:rFonts w:ascii="Times New Roman" w:hAnsi="Times New Roman" w:cs="Times New Roman"/>
                <w:bCs/>
                <w:noProof/>
                <w:sz w:val="22"/>
                <w:szCs w:val="22"/>
                <w:vertAlign w:val="superscript"/>
                <w:lang w:val="en-US"/>
              </w:rPr>
              <w:t>3</w:t>
            </w:r>
            <w:r w:rsidR="00E955AC" w:rsidRPr="0023666E">
              <w:rPr>
                <w:rFonts w:ascii="Times New Roman" w:hAnsi="Times New Roman" w:cs="Times New Roman"/>
                <w:b/>
                <w:bCs/>
                <w:sz w:val="22"/>
                <w:szCs w:val="22"/>
                <w:lang w:val="en-US"/>
              </w:rPr>
              <w:fldChar w:fldCharType="end"/>
            </w:r>
          </w:p>
        </w:tc>
        <w:tc>
          <w:tcPr>
            <w:tcW w:w="2268" w:type="dxa"/>
            <w:gridSpan w:val="2"/>
            <w:tcBorders>
              <w:bottom w:val="single" w:sz="4" w:space="0" w:color="auto"/>
            </w:tcBorders>
            <w:noWrap/>
            <w:hideMark/>
          </w:tcPr>
          <w:p w14:paraId="3B2611C7" w14:textId="336579C6" w:rsidR="00ED7CC7" w:rsidRPr="0023666E" w:rsidRDefault="00ED7CC7" w:rsidP="0022489C">
            <w:pPr>
              <w:spacing w:line="480" w:lineRule="auto"/>
              <w:jc w:val="center"/>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Bloomfield, 2015</w:t>
            </w:r>
            <w:r w:rsidR="00E955AC" w:rsidRPr="0023666E">
              <w:rPr>
                <w:rFonts w:ascii="Times New Roman" w:hAnsi="Times New Roman" w:cs="Times New Roman"/>
                <w:b/>
                <w:bCs/>
                <w:sz w:val="22"/>
                <w:szCs w:val="22"/>
                <w:lang w:val="en-US"/>
              </w:rPr>
              <w:fldChar w:fldCharType="begin" w:fldLock="1"/>
            </w:r>
            <w:r w:rsidR="0022489C">
              <w:rPr>
                <w:rFonts w:ascii="Times New Roman" w:hAnsi="Times New Roman" w:cs="Times New Roman"/>
                <w:b/>
                <w:bCs/>
                <w:sz w:val="22"/>
                <w:szCs w:val="22"/>
                <w:lang w:val="en-US"/>
              </w:rPr>
              <w:instrText>ADDIN CSL_CITATION {"citationItems":[{"id":"ITEM-1","itemData":{"DOI":"10.1002/14651858.CD008095.pub2","ISSN":"14651858","PMID":"26561745","abstract":"BACKGROUND Acute hypoxaemia de novo or on a background of chronic hypoxaemia is a common reason for admission to intensive care and for provision of mechanical ventilation. Various refinements of mechanical ventilation or adjuncts are employed to improve patient outcomes. Mortality from acute respiratory distress syndrome, one of the main contributors to the need for mechanical ventilation for hypoxaemia, remains approximately 40%. Ventilation in the prone position may improve lung mechanics and gas exchange and could improve outcomes. OBJECTIVES The objectives of this review are (1) to ascertain whether prone ventilation offers a mortality advantage when compared with traditional supine or semi recumbent ventilation in patients with severe acute respiratory failure requiring conventional invasive artificial ventilation, and (2) to supplement previous systematic reviews on prone ventilation for hypoxaemic respiratory failure in an adult population. SEARCH METHODS We searched the Cochrane Central Register of Controlled Trials (CENTRAL; 2014, Issue 1), Ovid MEDLINE (1950 to 31 January 2014), EMBASE (1980 to 31 January 2014), the Cumulative Index to Nursing and Allied Health Literature (CINAHL) (1982 to 31 January 2014) and Latin American Caribbean Health Sciences Literature (LILACS) (1992 to 31 January 2014) in Ovid MEDLINE for eligible randomized controlled trials. We also searched for studies by handsearching reference lists of relevant articles, by contacting colleagues and by handsearching published proceedings of relevant journals. We applied no language constraints, and we reran the searches in CENTRAL, MEDLINE, EMBASE, CINAHL and LILACS in June 2015. We added five new studies of potential interest to the list of \"Studies awaiting classification\" and will incorporate them into formal review findings during the review update. SELECTION CRITERIA We included randomized controlled trials (RCTs) that examined the effects of prone position versus supine/semi recumbent position during conventional mechanical ventilation in adult participants with acute hypoxaemia. DATA COLLECTION AND ANALYSIS Two review authors independently reviewed all trials identified by the search and assessed them for suitability, methods and quality. Two review authors extracted data, and three review authors reviewed the data extracted. We analysed data using Review Manager software and pooled included studies to determine the risk ratio (RR) for mortality and the risk ratio or mea…","author":[{"dropping-particle":"","family":"Bloomfield","given":"Roxanna","non-dropping-particle":"","parse-names":false,"suffix":""},{"dropping-particle":"","family":"Noble","given":"David W","non-dropping-particle":"","parse-names":false,"suffix":""},{"dropping-particle":"","family":"Sudlow","given":"Alexis","non-dropping-particle":"","parse-names":false,"suffix":""}],"container-title":"Cochrane Database of Systematic Reviews","id":"ITEM-1","issue":"11","issued":{"date-parts":[["2015","11","13"]]},"page":"CD008095","title":"Prone position for acute respiratory failure in adults","type":"article-journal"},"uris":["http://www.mendeley.com/documents/?uuid=c6e17378-0bae-4f44-b753-f0181bfe4d7d"]}],"mendeley":{"formattedCitation":"&lt;sup&gt;4&lt;/sup&gt;","plainTextFormattedCitation":"4","previouslyFormattedCitation":"&lt;sup&gt;&lt;sup&gt;4&lt;/sup&gt;&lt;/sup&gt;"},"properties":{"noteIndex":0},"schema":"https://github.com/citation-style-language/schema/raw/master/csl-citation.json"}</w:instrText>
            </w:r>
            <w:r w:rsidR="00E955AC" w:rsidRPr="0023666E">
              <w:rPr>
                <w:rFonts w:ascii="Times New Roman" w:hAnsi="Times New Roman" w:cs="Times New Roman"/>
                <w:b/>
                <w:bCs/>
                <w:sz w:val="22"/>
                <w:szCs w:val="22"/>
                <w:lang w:val="en-US"/>
              </w:rPr>
              <w:fldChar w:fldCharType="separate"/>
            </w:r>
            <w:r w:rsidR="0022489C" w:rsidRPr="0022489C">
              <w:rPr>
                <w:rFonts w:ascii="Times New Roman" w:hAnsi="Times New Roman" w:cs="Times New Roman"/>
                <w:bCs/>
                <w:noProof/>
                <w:sz w:val="22"/>
                <w:szCs w:val="22"/>
                <w:vertAlign w:val="superscript"/>
                <w:lang w:val="en-US"/>
              </w:rPr>
              <w:t>4</w:t>
            </w:r>
            <w:r w:rsidR="00E955AC" w:rsidRPr="0023666E">
              <w:rPr>
                <w:rFonts w:ascii="Times New Roman" w:hAnsi="Times New Roman" w:cs="Times New Roman"/>
                <w:b/>
                <w:bCs/>
                <w:sz w:val="22"/>
                <w:szCs w:val="22"/>
                <w:lang w:val="en-US"/>
              </w:rPr>
              <w:fldChar w:fldCharType="end"/>
            </w:r>
          </w:p>
        </w:tc>
        <w:tc>
          <w:tcPr>
            <w:tcW w:w="2552" w:type="dxa"/>
            <w:gridSpan w:val="2"/>
            <w:tcBorders>
              <w:bottom w:val="single" w:sz="4" w:space="0" w:color="auto"/>
            </w:tcBorders>
            <w:noWrap/>
            <w:hideMark/>
          </w:tcPr>
          <w:p w14:paraId="3E84DBC1" w14:textId="2906FDCB" w:rsidR="00ED7CC7" w:rsidRPr="0023666E" w:rsidRDefault="00D521BD" w:rsidP="00821540">
            <w:pPr>
              <w:spacing w:line="480" w:lineRule="auto"/>
              <w:jc w:val="center"/>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Current scoping review</w:t>
            </w:r>
          </w:p>
        </w:tc>
      </w:tr>
      <w:tr w:rsidR="00F15079" w:rsidRPr="0023666E" w14:paraId="723FBEE3" w14:textId="77777777" w:rsidTr="003C6084">
        <w:trPr>
          <w:trHeight w:val="500"/>
          <w:jc w:val="center"/>
        </w:trPr>
        <w:tc>
          <w:tcPr>
            <w:tcW w:w="2459" w:type="dxa"/>
            <w:tcBorders>
              <w:top w:val="nil"/>
              <w:bottom w:val="single" w:sz="4" w:space="0" w:color="auto"/>
            </w:tcBorders>
            <w:noWrap/>
            <w:hideMark/>
          </w:tcPr>
          <w:p w14:paraId="1267A33E" w14:textId="77777777" w:rsidR="00ED7CC7" w:rsidRPr="0023666E" w:rsidRDefault="00ED7CC7" w:rsidP="00821540">
            <w:pPr>
              <w:spacing w:line="480" w:lineRule="auto"/>
              <w:rPr>
                <w:rFonts w:ascii="Times New Roman" w:hAnsi="Times New Roman" w:cs="Times New Roman"/>
                <w:sz w:val="22"/>
                <w:szCs w:val="22"/>
                <w:lang w:val="en-US"/>
              </w:rPr>
            </w:pPr>
            <w:r w:rsidRPr="0023666E">
              <w:rPr>
                <w:rFonts w:ascii="Times New Roman" w:hAnsi="Times New Roman" w:cs="Times New Roman"/>
                <w:sz w:val="22"/>
                <w:szCs w:val="22"/>
                <w:lang w:val="en-US"/>
              </w:rPr>
              <w:t> </w:t>
            </w:r>
          </w:p>
        </w:tc>
        <w:tc>
          <w:tcPr>
            <w:tcW w:w="1519" w:type="dxa"/>
            <w:tcBorders>
              <w:top w:val="single" w:sz="4" w:space="0" w:color="auto"/>
              <w:bottom w:val="single" w:sz="4" w:space="0" w:color="auto"/>
            </w:tcBorders>
            <w:noWrap/>
            <w:hideMark/>
          </w:tcPr>
          <w:p w14:paraId="2CEE4AA8" w14:textId="14EF6E6F" w:rsidR="00ED7CC7" w:rsidRPr="0023666E" w:rsidRDefault="00ED7CC7" w:rsidP="00821540">
            <w:pPr>
              <w:spacing w:line="480" w:lineRule="auto"/>
              <w:jc w:val="right"/>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 xml:space="preserve">No. </w:t>
            </w:r>
            <w:r w:rsidR="00CC2B2A">
              <w:rPr>
                <w:rFonts w:ascii="Times New Roman" w:hAnsi="Times New Roman" w:cs="Times New Roman"/>
                <w:b/>
                <w:bCs/>
                <w:sz w:val="22"/>
                <w:szCs w:val="22"/>
                <w:lang w:val="en-US"/>
              </w:rPr>
              <w:t>RCT</w:t>
            </w:r>
            <w:r w:rsidR="006D59F2" w:rsidRPr="006D59F2">
              <w:rPr>
                <w:rFonts w:ascii="Times New Roman" w:hAnsi="Times New Roman" w:cs="Times New Roman"/>
                <w:lang w:val="en-US"/>
              </w:rPr>
              <w:t>†</w:t>
            </w:r>
          </w:p>
        </w:tc>
        <w:tc>
          <w:tcPr>
            <w:tcW w:w="850" w:type="dxa"/>
            <w:tcBorders>
              <w:top w:val="single" w:sz="4" w:space="0" w:color="auto"/>
              <w:bottom w:val="single" w:sz="4" w:space="0" w:color="auto"/>
            </w:tcBorders>
            <w:noWrap/>
            <w:hideMark/>
          </w:tcPr>
          <w:p w14:paraId="4CB2CD4C" w14:textId="04A7A21F" w:rsidR="00ED7CC7" w:rsidRPr="0023666E" w:rsidRDefault="00ED7CC7" w:rsidP="00821540">
            <w:pPr>
              <w:spacing w:line="480" w:lineRule="auto"/>
              <w:jc w:val="right"/>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AE</w:t>
            </w:r>
            <w:r w:rsidR="00D75433" w:rsidRPr="0023666E">
              <w:rPr>
                <w:rFonts w:ascii="Times New Roman" w:hAnsi="Times New Roman" w:cs="Times New Roman"/>
                <w:b/>
                <w:bCs/>
                <w:sz w:val="22"/>
                <w:szCs w:val="22"/>
                <w:lang w:val="en-US"/>
              </w:rPr>
              <w:t xml:space="preserve"> %</w:t>
            </w:r>
          </w:p>
        </w:tc>
        <w:tc>
          <w:tcPr>
            <w:tcW w:w="1418" w:type="dxa"/>
            <w:tcBorders>
              <w:top w:val="single" w:sz="4" w:space="0" w:color="auto"/>
              <w:bottom w:val="single" w:sz="4" w:space="0" w:color="auto"/>
            </w:tcBorders>
            <w:noWrap/>
            <w:hideMark/>
          </w:tcPr>
          <w:p w14:paraId="027AB448" w14:textId="16D29B91" w:rsidR="00ED7CC7" w:rsidRPr="0023666E" w:rsidRDefault="00ED7CC7" w:rsidP="00821540">
            <w:pPr>
              <w:spacing w:line="480" w:lineRule="auto"/>
              <w:jc w:val="right"/>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 xml:space="preserve">No. </w:t>
            </w:r>
            <w:r w:rsidR="00CC2B2A">
              <w:rPr>
                <w:rFonts w:ascii="Times New Roman" w:hAnsi="Times New Roman" w:cs="Times New Roman"/>
                <w:b/>
                <w:bCs/>
                <w:sz w:val="22"/>
                <w:szCs w:val="22"/>
                <w:lang w:val="en-US"/>
              </w:rPr>
              <w:t>RCT</w:t>
            </w:r>
            <w:r w:rsidR="006D59F2" w:rsidRPr="006D59F2">
              <w:rPr>
                <w:rFonts w:ascii="Times New Roman" w:hAnsi="Times New Roman" w:cs="Times New Roman"/>
                <w:lang w:val="en-US"/>
              </w:rPr>
              <w:t>†</w:t>
            </w:r>
          </w:p>
        </w:tc>
        <w:tc>
          <w:tcPr>
            <w:tcW w:w="850" w:type="dxa"/>
            <w:tcBorders>
              <w:top w:val="single" w:sz="4" w:space="0" w:color="auto"/>
              <w:bottom w:val="single" w:sz="4" w:space="0" w:color="auto"/>
            </w:tcBorders>
            <w:noWrap/>
            <w:hideMark/>
          </w:tcPr>
          <w:p w14:paraId="3862CF33" w14:textId="4C73662F" w:rsidR="00ED7CC7" w:rsidRPr="0023666E" w:rsidRDefault="00ED7CC7" w:rsidP="00821540">
            <w:pPr>
              <w:spacing w:line="480" w:lineRule="auto"/>
              <w:jc w:val="right"/>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AE</w:t>
            </w:r>
            <w:r w:rsidR="00D75433" w:rsidRPr="0023666E">
              <w:rPr>
                <w:rFonts w:ascii="Times New Roman" w:hAnsi="Times New Roman" w:cs="Times New Roman"/>
                <w:b/>
                <w:bCs/>
                <w:sz w:val="22"/>
                <w:szCs w:val="22"/>
                <w:lang w:val="en-US"/>
              </w:rPr>
              <w:t>%</w:t>
            </w:r>
          </w:p>
        </w:tc>
        <w:tc>
          <w:tcPr>
            <w:tcW w:w="1418" w:type="dxa"/>
            <w:tcBorders>
              <w:top w:val="single" w:sz="4" w:space="0" w:color="auto"/>
              <w:bottom w:val="single" w:sz="4" w:space="0" w:color="auto"/>
            </w:tcBorders>
            <w:noWrap/>
            <w:hideMark/>
          </w:tcPr>
          <w:p w14:paraId="41B3B557" w14:textId="23C6C3E6" w:rsidR="00ED7CC7" w:rsidRPr="0023666E" w:rsidRDefault="00ED7CC7" w:rsidP="00821540">
            <w:pPr>
              <w:spacing w:line="480" w:lineRule="auto"/>
              <w:jc w:val="right"/>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 xml:space="preserve">No. </w:t>
            </w:r>
            <w:r w:rsidR="00CC2B2A">
              <w:rPr>
                <w:rFonts w:ascii="Times New Roman" w:hAnsi="Times New Roman" w:cs="Times New Roman"/>
                <w:b/>
                <w:bCs/>
                <w:sz w:val="22"/>
                <w:szCs w:val="22"/>
                <w:lang w:val="en-US"/>
              </w:rPr>
              <w:t>RCT</w:t>
            </w:r>
            <w:r w:rsidR="006D59F2" w:rsidRPr="006D59F2">
              <w:rPr>
                <w:rFonts w:ascii="Times New Roman" w:hAnsi="Times New Roman" w:cs="Times New Roman"/>
                <w:lang w:val="en-US"/>
              </w:rPr>
              <w:t>†</w:t>
            </w:r>
          </w:p>
        </w:tc>
        <w:tc>
          <w:tcPr>
            <w:tcW w:w="1086" w:type="dxa"/>
            <w:tcBorders>
              <w:top w:val="single" w:sz="4" w:space="0" w:color="auto"/>
              <w:bottom w:val="single" w:sz="4" w:space="0" w:color="auto"/>
            </w:tcBorders>
            <w:noWrap/>
            <w:hideMark/>
          </w:tcPr>
          <w:p w14:paraId="2640A4F9" w14:textId="37C1F7B1" w:rsidR="00ED7CC7" w:rsidRPr="0023666E" w:rsidRDefault="00D75433" w:rsidP="00821540">
            <w:pPr>
              <w:spacing w:line="480" w:lineRule="auto"/>
              <w:jc w:val="right"/>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AE%</w:t>
            </w:r>
          </w:p>
        </w:tc>
        <w:tc>
          <w:tcPr>
            <w:tcW w:w="1418" w:type="dxa"/>
            <w:tcBorders>
              <w:top w:val="single" w:sz="4" w:space="0" w:color="auto"/>
              <w:bottom w:val="single" w:sz="4" w:space="0" w:color="auto"/>
            </w:tcBorders>
            <w:noWrap/>
            <w:hideMark/>
          </w:tcPr>
          <w:p w14:paraId="19059A2F" w14:textId="4D901EF7" w:rsidR="00ED7CC7" w:rsidRPr="0023666E" w:rsidRDefault="00ED7CC7" w:rsidP="00821540">
            <w:pPr>
              <w:spacing w:line="480" w:lineRule="auto"/>
              <w:jc w:val="right"/>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 xml:space="preserve">No. </w:t>
            </w:r>
            <w:r w:rsidR="00CC2B2A">
              <w:rPr>
                <w:rFonts w:ascii="Times New Roman" w:hAnsi="Times New Roman" w:cs="Times New Roman"/>
                <w:b/>
                <w:bCs/>
                <w:sz w:val="22"/>
                <w:szCs w:val="22"/>
                <w:lang w:val="en-US"/>
              </w:rPr>
              <w:t>RCT</w:t>
            </w:r>
            <w:r w:rsidR="006D59F2" w:rsidRPr="006D59F2">
              <w:rPr>
                <w:rFonts w:ascii="Times New Roman" w:hAnsi="Times New Roman" w:cs="Times New Roman"/>
                <w:lang w:val="en-US"/>
              </w:rPr>
              <w:t>†</w:t>
            </w:r>
          </w:p>
        </w:tc>
        <w:tc>
          <w:tcPr>
            <w:tcW w:w="850" w:type="dxa"/>
            <w:tcBorders>
              <w:top w:val="single" w:sz="4" w:space="0" w:color="auto"/>
              <w:bottom w:val="single" w:sz="4" w:space="0" w:color="auto"/>
            </w:tcBorders>
            <w:noWrap/>
            <w:hideMark/>
          </w:tcPr>
          <w:p w14:paraId="06F8B99F" w14:textId="13E72A05" w:rsidR="00ED7CC7" w:rsidRPr="0023666E" w:rsidRDefault="00D75433" w:rsidP="00821540">
            <w:pPr>
              <w:spacing w:line="480" w:lineRule="auto"/>
              <w:jc w:val="right"/>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AE%</w:t>
            </w:r>
          </w:p>
        </w:tc>
        <w:tc>
          <w:tcPr>
            <w:tcW w:w="1418" w:type="dxa"/>
            <w:tcBorders>
              <w:top w:val="single" w:sz="4" w:space="0" w:color="auto"/>
              <w:bottom w:val="single" w:sz="4" w:space="0" w:color="auto"/>
            </w:tcBorders>
            <w:noWrap/>
            <w:hideMark/>
          </w:tcPr>
          <w:p w14:paraId="0EF5B340" w14:textId="783A49A7" w:rsidR="00ED7CC7" w:rsidRPr="0023666E" w:rsidRDefault="00ED7CC7" w:rsidP="00821540">
            <w:pPr>
              <w:spacing w:line="480" w:lineRule="auto"/>
              <w:jc w:val="right"/>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No. Studies</w:t>
            </w:r>
            <w:r w:rsidR="006D59F2" w:rsidRPr="006D59F2">
              <w:rPr>
                <w:rFonts w:ascii="Times New Roman" w:hAnsi="Times New Roman" w:cs="Times New Roman"/>
                <w:lang w:val="en-US"/>
              </w:rPr>
              <w:t>†</w:t>
            </w:r>
          </w:p>
        </w:tc>
        <w:tc>
          <w:tcPr>
            <w:tcW w:w="1134" w:type="dxa"/>
            <w:tcBorders>
              <w:top w:val="single" w:sz="4" w:space="0" w:color="auto"/>
              <w:bottom w:val="single" w:sz="4" w:space="0" w:color="auto"/>
            </w:tcBorders>
            <w:noWrap/>
            <w:hideMark/>
          </w:tcPr>
          <w:p w14:paraId="02EA515B" w14:textId="119F8C9D" w:rsidR="00ED7CC7" w:rsidRPr="0023666E" w:rsidRDefault="00D75433" w:rsidP="00821540">
            <w:pPr>
              <w:spacing w:line="480" w:lineRule="auto"/>
              <w:jc w:val="right"/>
              <w:rPr>
                <w:rFonts w:ascii="Times New Roman" w:hAnsi="Times New Roman" w:cs="Times New Roman"/>
                <w:b/>
                <w:bCs/>
                <w:sz w:val="22"/>
                <w:szCs w:val="22"/>
                <w:lang w:val="en-US"/>
              </w:rPr>
            </w:pPr>
            <w:r w:rsidRPr="0023666E">
              <w:rPr>
                <w:rFonts w:ascii="Times New Roman" w:hAnsi="Times New Roman" w:cs="Times New Roman"/>
                <w:b/>
                <w:bCs/>
                <w:sz w:val="22"/>
                <w:szCs w:val="22"/>
                <w:lang w:val="en-US"/>
              </w:rPr>
              <w:t>AE%</w:t>
            </w:r>
          </w:p>
        </w:tc>
      </w:tr>
      <w:tr w:rsidR="00F15079" w:rsidRPr="0023666E" w14:paraId="0FC95076" w14:textId="77777777" w:rsidTr="003C6084">
        <w:trPr>
          <w:trHeight w:val="300"/>
          <w:jc w:val="center"/>
        </w:trPr>
        <w:tc>
          <w:tcPr>
            <w:tcW w:w="2459" w:type="dxa"/>
            <w:tcBorders>
              <w:top w:val="single" w:sz="4" w:space="0" w:color="auto"/>
            </w:tcBorders>
            <w:noWrap/>
            <w:hideMark/>
          </w:tcPr>
          <w:p w14:paraId="128AF877" w14:textId="77777777" w:rsidR="00ED7CC7" w:rsidRPr="0023666E" w:rsidRDefault="00ED7CC7" w:rsidP="00821540">
            <w:pPr>
              <w:spacing w:line="480" w:lineRule="auto"/>
              <w:rPr>
                <w:rFonts w:ascii="Times New Roman" w:hAnsi="Times New Roman" w:cs="Times New Roman"/>
                <w:sz w:val="22"/>
                <w:szCs w:val="22"/>
                <w:lang w:val="en-US"/>
              </w:rPr>
            </w:pPr>
            <w:r w:rsidRPr="0023666E">
              <w:rPr>
                <w:rFonts w:ascii="Times New Roman" w:hAnsi="Times New Roman" w:cs="Times New Roman"/>
                <w:sz w:val="22"/>
                <w:szCs w:val="22"/>
                <w:lang w:val="en-US"/>
              </w:rPr>
              <w:t>VAP</w:t>
            </w:r>
          </w:p>
        </w:tc>
        <w:tc>
          <w:tcPr>
            <w:tcW w:w="1519" w:type="dxa"/>
            <w:tcBorders>
              <w:top w:val="single" w:sz="4" w:space="0" w:color="auto"/>
            </w:tcBorders>
            <w:noWrap/>
            <w:hideMark/>
          </w:tcPr>
          <w:p w14:paraId="786AAA4B"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6</w:t>
            </w:r>
          </w:p>
        </w:tc>
        <w:tc>
          <w:tcPr>
            <w:tcW w:w="850" w:type="dxa"/>
            <w:tcBorders>
              <w:top w:val="single" w:sz="4" w:space="0" w:color="auto"/>
            </w:tcBorders>
            <w:noWrap/>
            <w:hideMark/>
          </w:tcPr>
          <w:p w14:paraId="2F1400E0"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21.2</w:t>
            </w:r>
          </w:p>
        </w:tc>
        <w:tc>
          <w:tcPr>
            <w:tcW w:w="1418" w:type="dxa"/>
            <w:tcBorders>
              <w:top w:val="single" w:sz="4" w:space="0" w:color="auto"/>
            </w:tcBorders>
            <w:noWrap/>
            <w:hideMark/>
          </w:tcPr>
          <w:p w14:paraId="2D724E25"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3</w:t>
            </w:r>
          </w:p>
        </w:tc>
        <w:tc>
          <w:tcPr>
            <w:tcW w:w="850" w:type="dxa"/>
            <w:tcBorders>
              <w:top w:val="single" w:sz="4" w:space="0" w:color="auto"/>
            </w:tcBorders>
            <w:noWrap/>
            <w:hideMark/>
          </w:tcPr>
          <w:p w14:paraId="152CA0D5"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17.6</w:t>
            </w:r>
          </w:p>
        </w:tc>
        <w:tc>
          <w:tcPr>
            <w:tcW w:w="1418" w:type="dxa"/>
            <w:tcBorders>
              <w:top w:val="single" w:sz="4" w:space="0" w:color="auto"/>
            </w:tcBorders>
            <w:noWrap/>
            <w:hideMark/>
          </w:tcPr>
          <w:p w14:paraId="6C22D87A"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w:t>
            </w:r>
          </w:p>
        </w:tc>
        <w:tc>
          <w:tcPr>
            <w:tcW w:w="1086" w:type="dxa"/>
            <w:tcBorders>
              <w:top w:val="single" w:sz="4" w:space="0" w:color="auto"/>
            </w:tcBorders>
            <w:noWrap/>
            <w:hideMark/>
          </w:tcPr>
          <w:p w14:paraId="0FD7BD01"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21.4</w:t>
            </w:r>
          </w:p>
        </w:tc>
        <w:tc>
          <w:tcPr>
            <w:tcW w:w="1418" w:type="dxa"/>
            <w:tcBorders>
              <w:top w:val="single" w:sz="4" w:space="0" w:color="auto"/>
            </w:tcBorders>
            <w:noWrap/>
            <w:hideMark/>
          </w:tcPr>
          <w:p w14:paraId="627A8C6E" w14:textId="1D49BF5E" w:rsidR="00ED7CC7" w:rsidRPr="0023666E" w:rsidRDefault="00ED7CC7" w:rsidP="00821540">
            <w:pPr>
              <w:spacing w:line="480" w:lineRule="auto"/>
              <w:jc w:val="right"/>
              <w:rPr>
                <w:rFonts w:ascii="Times New Roman" w:hAnsi="Times New Roman" w:cs="Times New Roman"/>
                <w:sz w:val="22"/>
                <w:szCs w:val="22"/>
                <w:lang w:val="en-US"/>
              </w:rPr>
            </w:pPr>
          </w:p>
        </w:tc>
        <w:tc>
          <w:tcPr>
            <w:tcW w:w="850" w:type="dxa"/>
            <w:tcBorders>
              <w:top w:val="single" w:sz="4" w:space="0" w:color="auto"/>
            </w:tcBorders>
            <w:noWrap/>
            <w:hideMark/>
          </w:tcPr>
          <w:p w14:paraId="126A333A" w14:textId="743D5417" w:rsidR="00ED7CC7" w:rsidRPr="0023666E" w:rsidRDefault="00CC430C"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NR</w:t>
            </w:r>
          </w:p>
        </w:tc>
        <w:tc>
          <w:tcPr>
            <w:tcW w:w="1418" w:type="dxa"/>
            <w:tcBorders>
              <w:top w:val="single" w:sz="4" w:space="0" w:color="auto"/>
            </w:tcBorders>
            <w:noWrap/>
            <w:hideMark/>
          </w:tcPr>
          <w:p w14:paraId="0F3BF4B1"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2</w:t>
            </w:r>
          </w:p>
        </w:tc>
        <w:tc>
          <w:tcPr>
            <w:tcW w:w="1134" w:type="dxa"/>
            <w:tcBorders>
              <w:top w:val="single" w:sz="4" w:space="0" w:color="auto"/>
            </w:tcBorders>
            <w:noWrap/>
            <w:hideMark/>
          </w:tcPr>
          <w:p w14:paraId="0A26DBC2"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28.2</w:t>
            </w:r>
          </w:p>
        </w:tc>
      </w:tr>
      <w:tr w:rsidR="00F15079" w:rsidRPr="0023666E" w14:paraId="7C86874A" w14:textId="77777777" w:rsidTr="003C6084">
        <w:trPr>
          <w:trHeight w:val="300"/>
          <w:jc w:val="center"/>
        </w:trPr>
        <w:tc>
          <w:tcPr>
            <w:tcW w:w="2459" w:type="dxa"/>
            <w:noWrap/>
            <w:hideMark/>
          </w:tcPr>
          <w:p w14:paraId="39206E13" w14:textId="77777777" w:rsidR="00ED7CC7" w:rsidRPr="0023666E" w:rsidRDefault="00ED7CC7" w:rsidP="00821540">
            <w:pPr>
              <w:spacing w:line="480" w:lineRule="auto"/>
              <w:rPr>
                <w:rFonts w:ascii="Times New Roman" w:hAnsi="Times New Roman" w:cs="Times New Roman"/>
                <w:sz w:val="22"/>
                <w:szCs w:val="22"/>
                <w:lang w:val="en-US"/>
              </w:rPr>
            </w:pPr>
            <w:r w:rsidRPr="0023666E">
              <w:rPr>
                <w:rFonts w:ascii="Times New Roman" w:hAnsi="Times New Roman" w:cs="Times New Roman"/>
                <w:sz w:val="22"/>
                <w:szCs w:val="22"/>
                <w:lang w:val="en-US"/>
              </w:rPr>
              <w:t>Pressure sores</w:t>
            </w:r>
          </w:p>
        </w:tc>
        <w:tc>
          <w:tcPr>
            <w:tcW w:w="1519" w:type="dxa"/>
            <w:noWrap/>
            <w:hideMark/>
          </w:tcPr>
          <w:p w14:paraId="2C2B9304"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6</w:t>
            </w:r>
          </w:p>
        </w:tc>
        <w:tc>
          <w:tcPr>
            <w:tcW w:w="850" w:type="dxa"/>
            <w:noWrap/>
            <w:hideMark/>
          </w:tcPr>
          <w:p w14:paraId="1EB3B834"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42.1</w:t>
            </w:r>
          </w:p>
        </w:tc>
        <w:tc>
          <w:tcPr>
            <w:tcW w:w="1418" w:type="dxa"/>
            <w:noWrap/>
            <w:hideMark/>
          </w:tcPr>
          <w:p w14:paraId="6FAE5BC2"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w:t>
            </w:r>
          </w:p>
        </w:tc>
        <w:tc>
          <w:tcPr>
            <w:tcW w:w="850" w:type="dxa"/>
            <w:noWrap/>
            <w:hideMark/>
          </w:tcPr>
          <w:p w14:paraId="0F031C83"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35.8</w:t>
            </w:r>
          </w:p>
        </w:tc>
        <w:tc>
          <w:tcPr>
            <w:tcW w:w="1418" w:type="dxa"/>
            <w:noWrap/>
            <w:hideMark/>
          </w:tcPr>
          <w:p w14:paraId="05698AF6"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w:t>
            </w:r>
          </w:p>
        </w:tc>
        <w:tc>
          <w:tcPr>
            <w:tcW w:w="1086" w:type="dxa"/>
            <w:noWrap/>
            <w:hideMark/>
          </w:tcPr>
          <w:p w14:paraId="3D04A9C7"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34.0</w:t>
            </w:r>
          </w:p>
        </w:tc>
        <w:tc>
          <w:tcPr>
            <w:tcW w:w="1418" w:type="dxa"/>
            <w:noWrap/>
            <w:hideMark/>
          </w:tcPr>
          <w:p w14:paraId="76F209C9"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3</w:t>
            </w:r>
          </w:p>
        </w:tc>
        <w:tc>
          <w:tcPr>
            <w:tcW w:w="850" w:type="dxa"/>
            <w:noWrap/>
            <w:hideMark/>
          </w:tcPr>
          <w:p w14:paraId="3E6E63B3"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41.3</w:t>
            </w:r>
          </w:p>
        </w:tc>
        <w:tc>
          <w:tcPr>
            <w:tcW w:w="1418" w:type="dxa"/>
            <w:noWrap/>
            <w:hideMark/>
          </w:tcPr>
          <w:p w14:paraId="2BF39149"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7</w:t>
            </w:r>
          </w:p>
        </w:tc>
        <w:tc>
          <w:tcPr>
            <w:tcW w:w="1134" w:type="dxa"/>
            <w:noWrap/>
            <w:hideMark/>
          </w:tcPr>
          <w:p w14:paraId="3A196D65"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29.7</w:t>
            </w:r>
          </w:p>
        </w:tc>
      </w:tr>
      <w:tr w:rsidR="00F15079" w:rsidRPr="0023666E" w14:paraId="33AC5C78" w14:textId="77777777" w:rsidTr="003C6084">
        <w:trPr>
          <w:trHeight w:val="300"/>
          <w:jc w:val="center"/>
        </w:trPr>
        <w:tc>
          <w:tcPr>
            <w:tcW w:w="2459" w:type="dxa"/>
            <w:noWrap/>
            <w:hideMark/>
          </w:tcPr>
          <w:p w14:paraId="50012CA6" w14:textId="77777777" w:rsidR="00ED7CC7" w:rsidRPr="0023666E" w:rsidRDefault="00ED7CC7" w:rsidP="00821540">
            <w:pPr>
              <w:spacing w:line="480" w:lineRule="auto"/>
              <w:rPr>
                <w:rFonts w:ascii="Times New Roman" w:hAnsi="Times New Roman" w:cs="Times New Roman"/>
                <w:sz w:val="22"/>
                <w:szCs w:val="22"/>
                <w:lang w:val="en-US"/>
              </w:rPr>
            </w:pPr>
            <w:r w:rsidRPr="0023666E">
              <w:rPr>
                <w:rFonts w:ascii="Times New Roman" w:hAnsi="Times New Roman" w:cs="Times New Roman"/>
                <w:sz w:val="22"/>
                <w:szCs w:val="22"/>
                <w:lang w:val="en-US"/>
              </w:rPr>
              <w:t>Unplanned extubation</w:t>
            </w:r>
          </w:p>
        </w:tc>
        <w:tc>
          <w:tcPr>
            <w:tcW w:w="1519" w:type="dxa"/>
            <w:noWrap/>
            <w:hideMark/>
          </w:tcPr>
          <w:p w14:paraId="581AC56E"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7</w:t>
            </w:r>
          </w:p>
        </w:tc>
        <w:tc>
          <w:tcPr>
            <w:tcW w:w="850" w:type="dxa"/>
            <w:noWrap/>
            <w:hideMark/>
          </w:tcPr>
          <w:p w14:paraId="1614E0BC"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10.4</w:t>
            </w:r>
          </w:p>
        </w:tc>
        <w:tc>
          <w:tcPr>
            <w:tcW w:w="1418" w:type="dxa"/>
            <w:noWrap/>
            <w:hideMark/>
          </w:tcPr>
          <w:p w14:paraId="39FE429F" w14:textId="313F493F" w:rsidR="00ED7CC7" w:rsidRPr="0023666E" w:rsidRDefault="00ED7CC7" w:rsidP="00821540">
            <w:pPr>
              <w:spacing w:line="480" w:lineRule="auto"/>
              <w:jc w:val="right"/>
              <w:rPr>
                <w:rFonts w:ascii="Times New Roman" w:hAnsi="Times New Roman" w:cs="Times New Roman"/>
                <w:sz w:val="22"/>
                <w:szCs w:val="22"/>
                <w:lang w:val="en-US"/>
              </w:rPr>
            </w:pPr>
          </w:p>
        </w:tc>
        <w:tc>
          <w:tcPr>
            <w:tcW w:w="850" w:type="dxa"/>
            <w:noWrap/>
            <w:hideMark/>
          </w:tcPr>
          <w:p w14:paraId="6A4E9BAF" w14:textId="34131897" w:rsidR="00ED7CC7" w:rsidRPr="0023666E" w:rsidRDefault="00CC430C"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NR</w:t>
            </w:r>
          </w:p>
        </w:tc>
        <w:tc>
          <w:tcPr>
            <w:tcW w:w="1418" w:type="dxa"/>
            <w:noWrap/>
            <w:hideMark/>
          </w:tcPr>
          <w:p w14:paraId="64B7852E"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w:t>
            </w:r>
          </w:p>
        </w:tc>
        <w:tc>
          <w:tcPr>
            <w:tcW w:w="1086" w:type="dxa"/>
            <w:noWrap/>
            <w:hideMark/>
          </w:tcPr>
          <w:p w14:paraId="6F7D122B"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10.9</w:t>
            </w:r>
          </w:p>
        </w:tc>
        <w:tc>
          <w:tcPr>
            <w:tcW w:w="1418" w:type="dxa"/>
            <w:noWrap/>
            <w:hideMark/>
          </w:tcPr>
          <w:p w14:paraId="2C2F015F" w14:textId="63E9D664" w:rsidR="00ED7CC7" w:rsidRPr="0023666E" w:rsidRDefault="00ED7CC7" w:rsidP="00821540">
            <w:pPr>
              <w:spacing w:line="480" w:lineRule="auto"/>
              <w:jc w:val="right"/>
              <w:rPr>
                <w:rFonts w:ascii="Times New Roman" w:hAnsi="Times New Roman" w:cs="Times New Roman"/>
                <w:sz w:val="22"/>
                <w:szCs w:val="22"/>
                <w:lang w:val="en-US"/>
              </w:rPr>
            </w:pPr>
          </w:p>
        </w:tc>
        <w:tc>
          <w:tcPr>
            <w:tcW w:w="850" w:type="dxa"/>
            <w:noWrap/>
            <w:hideMark/>
          </w:tcPr>
          <w:p w14:paraId="225455D5" w14:textId="1C4A65F4" w:rsidR="00ED7CC7" w:rsidRPr="0023666E" w:rsidRDefault="00CC430C"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NR</w:t>
            </w:r>
          </w:p>
        </w:tc>
        <w:tc>
          <w:tcPr>
            <w:tcW w:w="1418" w:type="dxa"/>
            <w:noWrap/>
            <w:hideMark/>
          </w:tcPr>
          <w:p w14:paraId="186D8853"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5</w:t>
            </w:r>
          </w:p>
        </w:tc>
        <w:tc>
          <w:tcPr>
            <w:tcW w:w="1134" w:type="dxa"/>
            <w:noWrap/>
            <w:hideMark/>
          </w:tcPr>
          <w:p w14:paraId="3D13979E"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7.7</w:t>
            </w:r>
          </w:p>
        </w:tc>
      </w:tr>
      <w:tr w:rsidR="00F15079" w:rsidRPr="0023666E" w14:paraId="19FF94D5" w14:textId="77777777" w:rsidTr="003C6084">
        <w:trPr>
          <w:trHeight w:val="300"/>
          <w:jc w:val="center"/>
        </w:trPr>
        <w:tc>
          <w:tcPr>
            <w:tcW w:w="2459" w:type="dxa"/>
            <w:noWrap/>
            <w:hideMark/>
          </w:tcPr>
          <w:p w14:paraId="766439C9" w14:textId="391CF217" w:rsidR="00ED7CC7" w:rsidRPr="0023666E" w:rsidRDefault="00261728" w:rsidP="00821540">
            <w:pPr>
              <w:spacing w:line="480" w:lineRule="auto"/>
              <w:rPr>
                <w:rFonts w:ascii="Times New Roman" w:hAnsi="Times New Roman" w:cs="Times New Roman"/>
                <w:sz w:val="22"/>
                <w:szCs w:val="22"/>
                <w:lang w:val="en-US"/>
              </w:rPr>
            </w:pPr>
            <w:r w:rsidRPr="0023666E">
              <w:rPr>
                <w:rFonts w:ascii="Times New Roman" w:hAnsi="Times New Roman" w:cs="Times New Roman"/>
                <w:sz w:val="22"/>
                <w:szCs w:val="22"/>
                <w:lang w:val="en-US"/>
              </w:rPr>
              <w:t>D</w:t>
            </w:r>
            <w:r w:rsidR="00ED7CC7" w:rsidRPr="0023666E">
              <w:rPr>
                <w:rFonts w:ascii="Times New Roman" w:hAnsi="Times New Roman" w:cs="Times New Roman"/>
                <w:sz w:val="22"/>
                <w:szCs w:val="22"/>
                <w:lang w:val="en-US"/>
              </w:rPr>
              <w:t>isplacement of ETT</w:t>
            </w:r>
          </w:p>
        </w:tc>
        <w:tc>
          <w:tcPr>
            <w:tcW w:w="1519" w:type="dxa"/>
            <w:noWrap/>
            <w:hideMark/>
          </w:tcPr>
          <w:p w14:paraId="7E09DE2F"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2</w:t>
            </w:r>
          </w:p>
        </w:tc>
        <w:tc>
          <w:tcPr>
            <w:tcW w:w="850" w:type="dxa"/>
            <w:noWrap/>
            <w:hideMark/>
          </w:tcPr>
          <w:p w14:paraId="5B9DAF2D"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1.9</w:t>
            </w:r>
          </w:p>
        </w:tc>
        <w:tc>
          <w:tcPr>
            <w:tcW w:w="1418" w:type="dxa"/>
            <w:noWrap/>
            <w:hideMark/>
          </w:tcPr>
          <w:p w14:paraId="4B564629" w14:textId="1CD2B8BC" w:rsidR="00ED7CC7" w:rsidRPr="0023666E" w:rsidRDefault="00ED7CC7" w:rsidP="00821540">
            <w:pPr>
              <w:spacing w:line="480" w:lineRule="auto"/>
              <w:jc w:val="right"/>
              <w:rPr>
                <w:rFonts w:ascii="Times New Roman" w:hAnsi="Times New Roman" w:cs="Times New Roman"/>
                <w:sz w:val="22"/>
                <w:szCs w:val="22"/>
                <w:lang w:val="en-US"/>
              </w:rPr>
            </w:pPr>
          </w:p>
        </w:tc>
        <w:tc>
          <w:tcPr>
            <w:tcW w:w="850" w:type="dxa"/>
            <w:noWrap/>
            <w:hideMark/>
          </w:tcPr>
          <w:p w14:paraId="47CE738D" w14:textId="4D6A8AA5" w:rsidR="00ED7CC7" w:rsidRPr="0023666E" w:rsidRDefault="00CC430C"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NR</w:t>
            </w:r>
          </w:p>
        </w:tc>
        <w:tc>
          <w:tcPr>
            <w:tcW w:w="1418" w:type="dxa"/>
            <w:noWrap/>
            <w:hideMark/>
          </w:tcPr>
          <w:p w14:paraId="5633CE33"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5</w:t>
            </w:r>
          </w:p>
        </w:tc>
        <w:tc>
          <w:tcPr>
            <w:tcW w:w="1086" w:type="dxa"/>
            <w:noWrap/>
            <w:hideMark/>
          </w:tcPr>
          <w:p w14:paraId="1C7A5C89"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3.7</w:t>
            </w:r>
          </w:p>
        </w:tc>
        <w:tc>
          <w:tcPr>
            <w:tcW w:w="1418" w:type="dxa"/>
            <w:noWrap/>
            <w:hideMark/>
          </w:tcPr>
          <w:p w14:paraId="1D3CBDBA"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8</w:t>
            </w:r>
          </w:p>
        </w:tc>
        <w:tc>
          <w:tcPr>
            <w:tcW w:w="850" w:type="dxa"/>
            <w:noWrap/>
            <w:hideMark/>
          </w:tcPr>
          <w:p w14:paraId="3E4746C3"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10.5</w:t>
            </w:r>
          </w:p>
        </w:tc>
        <w:tc>
          <w:tcPr>
            <w:tcW w:w="1418" w:type="dxa"/>
            <w:noWrap/>
            <w:hideMark/>
          </w:tcPr>
          <w:p w14:paraId="4F727789"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w:t>
            </w:r>
          </w:p>
        </w:tc>
        <w:tc>
          <w:tcPr>
            <w:tcW w:w="1134" w:type="dxa"/>
            <w:noWrap/>
            <w:hideMark/>
          </w:tcPr>
          <w:p w14:paraId="7560B4A8"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1.9</w:t>
            </w:r>
          </w:p>
        </w:tc>
      </w:tr>
      <w:tr w:rsidR="00F15079" w:rsidRPr="0023666E" w14:paraId="13CEEB91" w14:textId="77777777" w:rsidTr="003C6084">
        <w:trPr>
          <w:trHeight w:val="300"/>
          <w:jc w:val="center"/>
        </w:trPr>
        <w:tc>
          <w:tcPr>
            <w:tcW w:w="2459" w:type="dxa"/>
            <w:noWrap/>
            <w:hideMark/>
          </w:tcPr>
          <w:p w14:paraId="7CFD7655" w14:textId="77777777" w:rsidR="00ED7CC7" w:rsidRPr="0023666E" w:rsidRDefault="00ED7CC7" w:rsidP="00821540">
            <w:pPr>
              <w:spacing w:line="480" w:lineRule="auto"/>
              <w:rPr>
                <w:rFonts w:ascii="Times New Roman" w:hAnsi="Times New Roman" w:cs="Times New Roman"/>
                <w:sz w:val="22"/>
                <w:szCs w:val="22"/>
                <w:lang w:val="en-US"/>
              </w:rPr>
            </w:pPr>
            <w:r w:rsidRPr="0023666E">
              <w:rPr>
                <w:rFonts w:ascii="Times New Roman" w:hAnsi="Times New Roman" w:cs="Times New Roman"/>
                <w:sz w:val="22"/>
                <w:szCs w:val="22"/>
                <w:lang w:val="en-US"/>
              </w:rPr>
              <w:t>Airway obstruction</w:t>
            </w:r>
          </w:p>
        </w:tc>
        <w:tc>
          <w:tcPr>
            <w:tcW w:w="1519" w:type="dxa"/>
            <w:noWrap/>
            <w:hideMark/>
          </w:tcPr>
          <w:p w14:paraId="22B19B9C"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w:t>
            </w:r>
          </w:p>
        </w:tc>
        <w:tc>
          <w:tcPr>
            <w:tcW w:w="850" w:type="dxa"/>
            <w:noWrap/>
            <w:hideMark/>
          </w:tcPr>
          <w:p w14:paraId="12AB658C"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15.8</w:t>
            </w:r>
          </w:p>
        </w:tc>
        <w:tc>
          <w:tcPr>
            <w:tcW w:w="1418" w:type="dxa"/>
            <w:noWrap/>
            <w:hideMark/>
          </w:tcPr>
          <w:p w14:paraId="54637656" w14:textId="5B05C82E" w:rsidR="00ED7CC7" w:rsidRPr="0023666E" w:rsidRDefault="00ED7CC7" w:rsidP="00821540">
            <w:pPr>
              <w:spacing w:line="480" w:lineRule="auto"/>
              <w:jc w:val="right"/>
              <w:rPr>
                <w:rFonts w:ascii="Times New Roman" w:hAnsi="Times New Roman" w:cs="Times New Roman"/>
                <w:sz w:val="22"/>
                <w:szCs w:val="22"/>
                <w:lang w:val="en-US"/>
              </w:rPr>
            </w:pPr>
          </w:p>
        </w:tc>
        <w:tc>
          <w:tcPr>
            <w:tcW w:w="850" w:type="dxa"/>
            <w:noWrap/>
            <w:hideMark/>
          </w:tcPr>
          <w:p w14:paraId="06BFB037" w14:textId="7031A216" w:rsidR="00ED7CC7" w:rsidRPr="0023666E" w:rsidRDefault="00CC430C"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NR</w:t>
            </w:r>
          </w:p>
        </w:tc>
        <w:tc>
          <w:tcPr>
            <w:tcW w:w="1418" w:type="dxa"/>
            <w:noWrap/>
            <w:hideMark/>
          </w:tcPr>
          <w:p w14:paraId="02D7E1D6"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w:t>
            </w:r>
          </w:p>
        </w:tc>
        <w:tc>
          <w:tcPr>
            <w:tcW w:w="1086" w:type="dxa"/>
            <w:noWrap/>
            <w:hideMark/>
          </w:tcPr>
          <w:p w14:paraId="2EFF7688"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14.6</w:t>
            </w:r>
          </w:p>
        </w:tc>
        <w:tc>
          <w:tcPr>
            <w:tcW w:w="1418" w:type="dxa"/>
            <w:noWrap/>
            <w:hideMark/>
          </w:tcPr>
          <w:p w14:paraId="19730432"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3</w:t>
            </w:r>
          </w:p>
        </w:tc>
        <w:tc>
          <w:tcPr>
            <w:tcW w:w="850" w:type="dxa"/>
            <w:noWrap/>
            <w:hideMark/>
          </w:tcPr>
          <w:p w14:paraId="6C74B2E6"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15.9</w:t>
            </w:r>
          </w:p>
        </w:tc>
        <w:tc>
          <w:tcPr>
            <w:tcW w:w="1418" w:type="dxa"/>
            <w:noWrap/>
            <w:hideMark/>
          </w:tcPr>
          <w:p w14:paraId="54001F5C"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2</w:t>
            </w:r>
          </w:p>
        </w:tc>
        <w:tc>
          <w:tcPr>
            <w:tcW w:w="1134" w:type="dxa"/>
            <w:noWrap/>
            <w:hideMark/>
          </w:tcPr>
          <w:p w14:paraId="23BFE55D"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4.0</w:t>
            </w:r>
          </w:p>
        </w:tc>
      </w:tr>
      <w:tr w:rsidR="00F15079" w:rsidRPr="0023666E" w14:paraId="2E71C651" w14:textId="77777777" w:rsidTr="003C6084">
        <w:trPr>
          <w:trHeight w:val="300"/>
          <w:jc w:val="center"/>
        </w:trPr>
        <w:tc>
          <w:tcPr>
            <w:tcW w:w="2459" w:type="dxa"/>
            <w:noWrap/>
            <w:hideMark/>
          </w:tcPr>
          <w:p w14:paraId="042FD7CC" w14:textId="0D5766B8" w:rsidR="00ED7CC7" w:rsidRPr="0023666E" w:rsidRDefault="007F7B58" w:rsidP="00821540">
            <w:pPr>
              <w:spacing w:line="480" w:lineRule="auto"/>
              <w:rPr>
                <w:rFonts w:ascii="Times New Roman" w:hAnsi="Times New Roman" w:cs="Times New Roman"/>
                <w:sz w:val="22"/>
                <w:szCs w:val="22"/>
                <w:lang w:val="en-US"/>
              </w:rPr>
            </w:pPr>
            <w:r w:rsidRPr="0023666E">
              <w:rPr>
                <w:rFonts w:ascii="Times New Roman" w:hAnsi="Times New Roman" w:cs="Times New Roman"/>
                <w:sz w:val="22"/>
                <w:szCs w:val="22"/>
                <w:lang w:val="en-US"/>
              </w:rPr>
              <w:t>V</w:t>
            </w:r>
            <w:r w:rsidR="00ED7CC7" w:rsidRPr="0023666E">
              <w:rPr>
                <w:rFonts w:ascii="Times New Roman" w:hAnsi="Times New Roman" w:cs="Times New Roman"/>
                <w:sz w:val="22"/>
                <w:szCs w:val="22"/>
                <w:lang w:val="en-US"/>
              </w:rPr>
              <w:t>enous/arterial lines</w:t>
            </w:r>
            <w:r w:rsidRPr="0023666E">
              <w:rPr>
                <w:rFonts w:ascii="Times New Roman" w:hAnsi="Times New Roman" w:cs="Times New Roman"/>
                <w:sz w:val="22"/>
                <w:szCs w:val="22"/>
                <w:lang w:val="en-US"/>
              </w:rPr>
              <w:t xml:space="preserve"> loss</w:t>
            </w:r>
          </w:p>
        </w:tc>
        <w:tc>
          <w:tcPr>
            <w:tcW w:w="1519" w:type="dxa"/>
            <w:noWrap/>
            <w:hideMark/>
          </w:tcPr>
          <w:p w14:paraId="3A76507A"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w:t>
            </w:r>
          </w:p>
        </w:tc>
        <w:tc>
          <w:tcPr>
            <w:tcW w:w="850" w:type="dxa"/>
            <w:noWrap/>
            <w:hideMark/>
          </w:tcPr>
          <w:p w14:paraId="67FA27F8"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8.8</w:t>
            </w:r>
          </w:p>
        </w:tc>
        <w:tc>
          <w:tcPr>
            <w:tcW w:w="1418" w:type="dxa"/>
            <w:noWrap/>
            <w:hideMark/>
          </w:tcPr>
          <w:p w14:paraId="02DC3229" w14:textId="07DD7C48" w:rsidR="00ED7CC7" w:rsidRPr="0023666E" w:rsidRDefault="00ED7CC7" w:rsidP="00821540">
            <w:pPr>
              <w:spacing w:line="480" w:lineRule="auto"/>
              <w:jc w:val="right"/>
              <w:rPr>
                <w:rFonts w:ascii="Times New Roman" w:hAnsi="Times New Roman" w:cs="Times New Roman"/>
                <w:sz w:val="22"/>
                <w:szCs w:val="22"/>
                <w:lang w:val="en-US"/>
              </w:rPr>
            </w:pPr>
          </w:p>
        </w:tc>
        <w:tc>
          <w:tcPr>
            <w:tcW w:w="850" w:type="dxa"/>
            <w:noWrap/>
            <w:hideMark/>
          </w:tcPr>
          <w:p w14:paraId="547CF2EF" w14:textId="743EE4E4" w:rsidR="00ED7CC7" w:rsidRPr="0023666E" w:rsidRDefault="00CC430C"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NR</w:t>
            </w:r>
          </w:p>
        </w:tc>
        <w:tc>
          <w:tcPr>
            <w:tcW w:w="1418" w:type="dxa"/>
            <w:noWrap/>
            <w:hideMark/>
          </w:tcPr>
          <w:p w14:paraId="5880A2D3"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2</w:t>
            </w:r>
          </w:p>
        </w:tc>
        <w:tc>
          <w:tcPr>
            <w:tcW w:w="1086" w:type="dxa"/>
            <w:noWrap/>
            <w:hideMark/>
          </w:tcPr>
          <w:p w14:paraId="59F36DFD"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10.9</w:t>
            </w:r>
          </w:p>
        </w:tc>
        <w:tc>
          <w:tcPr>
            <w:tcW w:w="1418" w:type="dxa"/>
            <w:noWrap/>
            <w:hideMark/>
          </w:tcPr>
          <w:p w14:paraId="6ACF6DFB" w14:textId="56F59B64" w:rsidR="00ED7CC7" w:rsidRPr="0023666E" w:rsidRDefault="00ED7CC7" w:rsidP="00821540">
            <w:pPr>
              <w:spacing w:line="480" w:lineRule="auto"/>
              <w:jc w:val="right"/>
              <w:rPr>
                <w:rFonts w:ascii="Times New Roman" w:hAnsi="Times New Roman" w:cs="Times New Roman"/>
                <w:sz w:val="22"/>
                <w:szCs w:val="22"/>
                <w:lang w:val="en-US"/>
              </w:rPr>
            </w:pPr>
          </w:p>
        </w:tc>
        <w:tc>
          <w:tcPr>
            <w:tcW w:w="850" w:type="dxa"/>
            <w:noWrap/>
            <w:hideMark/>
          </w:tcPr>
          <w:p w14:paraId="32BB25AE" w14:textId="4B1C8985" w:rsidR="00ED7CC7" w:rsidRPr="0023666E" w:rsidRDefault="00CC430C"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NR</w:t>
            </w:r>
          </w:p>
        </w:tc>
        <w:tc>
          <w:tcPr>
            <w:tcW w:w="1418" w:type="dxa"/>
            <w:noWrap/>
            <w:hideMark/>
          </w:tcPr>
          <w:p w14:paraId="50A1427A"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7</w:t>
            </w:r>
          </w:p>
        </w:tc>
        <w:tc>
          <w:tcPr>
            <w:tcW w:w="1134" w:type="dxa"/>
            <w:noWrap/>
            <w:hideMark/>
          </w:tcPr>
          <w:p w14:paraId="558019FC"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0.9</w:t>
            </w:r>
          </w:p>
        </w:tc>
      </w:tr>
      <w:tr w:rsidR="00F15079" w:rsidRPr="0023666E" w14:paraId="3420F8E7" w14:textId="77777777" w:rsidTr="003C6084">
        <w:trPr>
          <w:trHeight w:val="300"/>
          <w:jc w:val="center"/>
        </w:trPr>
        <w:tc>
          <w:tcPr>
            <w:tcW w:w="2459" w:type="dxa"/>
            <w:noWrap/>
            <w:hideMark/>
          </w:tcPr>
          <w:p w14:paraId="5DD1EF3C" w14:textId="77777777" w:rsidR="00ED7CC7" w:rsidRPr="0023666E" w:rsidRDefault="00ED7CC7" w:rsidP="00821540">
            <w:pPr>
              <w:spacing w:line="480" w:lineRule="auto"/>
              <w:rPr>
                <w:rFonts w:ascii="Times New Roman" w:hAnsi="Times New Roman" w:cs="Times New Roman"/>
                <w:sz w:val="22"/>
                <w:szCs w:val="22"/>
                <w:lang w:val="en-US"/>
              </w:rPr>
            </w:pPr>
            <w:r w:rsidRPr="0023666E">
              <w:rPr>
                <w:rFonts w:ascii="Times New Roman" w:hAnsi="Times New Roman" w:cs="Times New Roman"/>
                <w:sz w:val="22"/>
                <w:szCs w:val="22"/>
                <w:lang w:val="en-US"/>
              </w:rPr>
              <w:t>Pneumothorax</w:t>
            </w:r>
          </w:p>
        </w:tc>
        <w:tc>
          <w:tcPr>
            <w:tcW w:w="1519" w:type="dxa"/>
            <w:noWrap/>
            <w:hideMark/>
          </w:tcPr>
          <w:p w14:paraId="59D3BA85"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w:t>
            </w:r>
          </w:p>
        </w:tc>
        <w:tc>
          <w:tcPr>
            <w:tcW w:w="850" w:type="dxa"/>
            <w:noWrap/>
            <w:hideMark/>
          </w:tcPr>
          <w:p w14:paraId="2AA76579"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5.7</w:t>
            </w:r>
          </w:p>
        </w:tc>
        <w:tc>
          <w:tcPr>
            <w:tcW w:w="1418" w:type="dxa"/>
            <w:noWrap/>
            <w:hideMark/>
          </w:tcPr>
          <w:p w14:paraId="72EC8EAC"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w:t>
            </w:r>
          </w:p>
        </w:tc>
        <w:tc>
          <w:tcPr>
            <w:tcW w:w="850" w:type="dxa"/>
            <w:noWrap/>
            <w:hideMark/>
          </w:tcPr>
          <w:p w14:paraId="782A53C4"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5.1</w:t>
            </w:r>
          </w:p>
        </w:tc>
        <w:tc>
          <w:tcPr>
            <w:tcW w:w="1418" w:type="dxa"/>
            <w:noWrap/>
            <w:hideMark/>
          </w:tcPr>
          <w:p w14:paraId="0ADC8D01"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w:t>
            </w:r>
          </w:p>
        </w:tc>
        <w:tc>
          <w:tcPr>
            <w:tcW w:w="1086" w:type="dxa"/>
            <w:noWrap/>
            <w:hideMark/>
          </w:tcPr>
          <w:p w14:paraId="4A1A0A26"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5.8</w:t>
            </w:r>
          </w:p>
        </w:tc>
        <w:tc>
          <w:tcPr>
            <w:tcW w:w="1418" w:type="dxa"/>
            <w:noWrap/>
            <w:hideMark/>
          </w:tcPr>
          <w:p w14:paraId="640422C7"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4</w:t>
            </w:r>
          </w:p>
        </w:tc>
        <w:tc>
          <w:tcPr>
            <w:tcW w:w="850" w:type="dxa"/>
            <w:noWrap/>
            <w:hideMark/>
          </w:tcPr>
          <w:p w14:paraId="0DB7175E"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6.6</w:t>
            </w:r>
          </w:p>
        </w:tc>
        <w:tc>
          <w:tcPr>
            <w:tcW w:w="1418" w:type="dxa"/>
            <w:noWrap/>
            <w:hideMark/>
          </w:tcPr>
          <w:p w14:paraId="44083A47"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2</w:t>
            </w:r>
          </w:p>
        </w:tc>
        <w:tc>
          <w:tcPr>
            <w:tcW w:w="1134" w:type="dxa"/>
            <w:noWrap/>
            <w:hideMark/>
          </w:tcPr>
          <w:p w14:paraId="0AB09A6D"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2.9</w:t>
            </w:r>
          </w:p>
        </w:tc>
      </w:tr>
      <w:tr w:rsidR="00F15079" w:rsidRPr="0023666E" w14:paraId="1F363C58" w14:textId="77777777" w:rsidTr="003C6084">
        <w:trPr>
          <w:trHeight w:val="300"/>
          <w:jc w:val="center"/>
        </w:trPr>
        <w:tc>
          <w:tcPr>
            <w:tcW w:w="2459" w:type="dxa"/>
            <w:noWrap/>
            <w:hideMark/>
          </w:tcPr>
          <w:p w14:paraId="6FF97D52" w14:textId="7B319F67" w:rsidR="00ED7CC7" w:rsidRPr="0023666E" w:rsidRDefault="003C78D4" w:rsidP="00821540">
            <w:pPr>
              <w:spacing w:line="480" w:lineRule="auto"/>
              <w:rPr>
                <w:rFonts w:ascii="Times New Roman" w:hAnsi="Times New Roman" w:cs="Times New Roman"/>
                <w:sz w:val="22"/>
                <w:szCs w:val="22"/>
                <w:lang w:val="en-US"/>
              </w:rPr>
            </w:pPr>
            <w:r w:rsidRPr="0023666E">
              <w:rPr>
                <w:rFonts w:ascii="Times New Roman" w:hAnsi="Times New Roman" w:cs="Times New Roman"/>
                <w:sz w:val="22"/>
                <w:szCs w:val="22"/>
                <w:lang w:val="en-US"/>
              </w:rPr>
              <w:t>Cardiac</w:t>
            </w:r>
            <w:r w:rsidR="00ED7CC7" w:rsidRPr="0023666E">
              <w:rPr>
                <w:rFonts w:ascii="Times New Roman" w:hAnsi="Times New Roman" w:cs="Times New Roman"/>
                <w:sz w:val="22"/>
                <w:szCs w:val="22"/>
                <w:lang w:val="en-US"/>
              </w:rPr>
              <w:t xml:space="preserve"> arrest</w:t>
            </w:r>
          </w:p>
        </w:tc>
        <w:tc>
          <w:tcPr>
            <w:tcW w:w="1519" w:type="dxa"/>
            <w:noWrap/>
            <w:hideMark/>
          </w:tcPr>
          <w:p w14:paraId="5149B6F6"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3</w:t>
            </w:r>
          </w:p>
        </w:tc>
        <w:tc>
          <w:tcPr>
            <w:tcW w:w="850" w:type="dxa"/>
            <w:noWrap/>
            <w:hideMark/>
          </w:tcPr>
          <w:p w14:paraId="13FCE518"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14.5</w:t>
            </w:r>
          </w:p>
        </w:tc>
        <w:tc>
          <w:tcPr>
            <w:tcW w:w="1418" w:type="dxa"/>
            <w:noWrap/>
            <w:hideMark/>
          </w:tcPr>
          <w:p w14:paraId="67ED8882"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3</w:t>
            </w:r>
          </w:p>
        </w:tc>
        <w:tc>
          <w:tcPr>
            <w:tcW w:w="850" w:type="dxa"/>
            <w:noWrap/>
            <w:hideMark/>
          </w:tcPr>
          <w:p w14:paraId="1E9AC54F"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15.3</w:t>
            </w:r>
          </w:p>
        </w:tc>
        <w:tc>
          <w:tcPr>
            <w:tcW w:w="1418" w:type="dxa"/>
            <w:noWrap/>
            <w:hideMark/>
          </w:tcPr>
          <w:p w14:paraId="3290389F" w14:textId="27571EE0" w:rsidR="00ED7CC7" w:rsidRPr="0023666E" w:rsidRDefault="00ED7CC7" w:rsidP="00821540">
            <w:pPr>
              <w:spacing w:line="480" w:lineRule="auto"/>
              <w:jc w:val="right"/>
              <w:rPr>
                <w:rFonts w:ascii="Times New Roman" w:hAnsi="Times New Roman" w:cs="Times New Roman"/>
                <w:sz w:val="22"/>
                <w:szCs w:val="22"/>
                <w:lang w:val="en-US"/>
              </w:rPr>
            </w:pPr>
          </w:p>
        </w:tc>
        <w:tc>
          <w:tcPr>
            <w:tcW w:w="1086" w:type="dxa"/>
            <w:noWrap/>
            <w:hideMark/>
          </w:tcPr>
          <w:p w14:paraId="61D90C31" w14:textId="12EAC3B8" w:rsidR="00ED7CC7" w:rsidRPr="0023666E" w:rsidRDefault="00CC430C"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NR</w:t>
            </w:r>
          </w:p>
        </w:tc>
        <w:tc>
          <w:tcPr>
            <w:tcW w:w="1418" w:type="dxa"/>
            <w:noWrap/>
            <w:hideMark/>
          </w:tcPr>
          <w:p w14:paraId="5EB5AB3C" w14:textId="54483F28" w:rsidR="00ED7CC7" w:rsidRPr="0023666E" w:rsidRDefault="00ED7CC7" w:rsidP="00821540">
            <w:pPr>
              <w:spacing w:line="480" w:lineRule="auto"/>
              <w:jc w:val="right"/>
              <w:rPr>
                <w:rFonts w:ascii="Times New Roman" w:hAnsi="Times New Roman" w:cs="Times New Roman"/>
                <w:sz w:val="22"/>
                <w:szCs w:val="22"/>
                <w:lang w:val="en-US"/>
              </w:rPr>
            </w:pPr>
          </w:p>
        </w:tc>
        <w:tc>
          <w:tcPr>
            <w:tcW w:w="850" w:type="dxa"/>
            <w:noWrap/>
            <w:hideMark/>
          </w:tcPr>
          <w:p w14:paraId="7A770B2A" w14:textId="1C7703D1" w:rsidR="00ED7CC7" w:rsidRPr="0023666E" w:rsidRDefault="00CC430C"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NR</w:t>
            </w:r>
          </w:p>
        </w:tc>
        <w:tc>
          <w:tcPr>
            <w:tcW w:w="1418" w:type="dxa"/>
            <w:noWrap/>
            <w:hideMark/>
          </w:tcPr>
          <w:p w14:paraId="43F43974"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5</w:t>
            </w:r>
          </w:p>
        </w:tc>
        <w:tc>
          <w:tcPr>
            <w:tcW w:w="1134" w:type="dxa"/>
            <w:noWrap/>
            <w:hideMark/>
          </w:tcPr>
          <w:p w14:paraId="0B4CDFE6"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3.4</w:t>
            </w:r>
          </w:p>
        </w:tc>
      </w:tr>
      <w:tr w:rsidR="00F15079" w:rsidRPr="0023666E" w14:paraId="0BD8332D" w14:textId="77777777" w:rsidTr="003C6084">
        <w:trPr>
          <w:trHeight w:val="320"/>
          <w:jc w:val="center"/>
        </w:trPr>
        <w:tc>
          <w:tcPr>
            <w:tcW w:w="2459" w:type="dxa"/>
            <w:noWrap/>
            <w:hideMark/>
          </w:tcPr>
          <w:p w14:paraId="7EB5C1E0" w14:textId="2FD59308" w:rsidR="00ED7CC7" w:rsidRPr="0023666E" w:rsidRDefault="003C78D4" w:rsidP="00821540">
            <w:pPr>
              <w:spacing w:line="480" w:lineRule="auto"/>
              <w:rPr>
                <w:rFonts w:ascii="Times New Roman" w:hAnsi="Times New Roman" w:cs="Times New Roman"/>
                <w:sz w:val="22"/>
                <w:szCs w:val="22"/>
                <w:lang w:val="en-US"/>
              </w:rPr>
            </w:pPr>
            <w:r w:rsidRPr="0023666E">
              <w:rPr>
                <w:rFonts w:ascii="Times New Roman" w:hAnsi="Times New Roman" w:cs="Times New Roman"/>
                <w:sz w:val="22"/>
                <w:szCs w:val="22"/>
                <w:lang w:val="en-US"/>
              </w:rPr>
              <w:t>Arrhythmia</w:t>
            </w:r>
          </w:p>
        </w:tc>
        <w:tc>
          <w:tcPr>
            <w:tcW w:w="1519" w:type="dxa"/>
            <w:noWrap/>
            <w:hideMark/>
          </w:tcPr>
          <w:p w14:paraId="1DDB9A46"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3</w:t>
            </w:r>
          </w:p>
        </w:tc>
        <w:tc>
          <w:tcPr>
            <w:tcW w:w="850" w:type="dxa"/>
            <w:noWrap/>
            <w:hideMark/>
          </w:tcPr>
          <w:p w14:paraId="0CBA387D"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17.3</w:t>
            </w:r>
          </w:p>
        </w:tc>
        <w:tc>
          <w:tcPr>
            <w:tcW w:w="1418" w:type="dxa"/>
            <w:noWrap/>
            <w:hideMark/>
          </w:tcPr>
          <w:p w14:paraId="5F15CAB5" w14:textId="72ABBBD1" w:rsidR="00ED7CC7" w:rsidRPr="0023666E" w:rsidRDefault="00ED7CC7" w:rsidP="00821540">
            <w:pPr>
              <w:spacing w:line="480" w:lineRule="auto"/>
              <w:jc w:val="right"/>
              <w:rPr>
                <w:rFonts w:ascii="Times New Roman" w:hAnsi="Times New Roman" w:cs="Times New Roman"/>
                <w:sz w:val="22"/>
                <w:szCs w:val="22"/>
                <w:lang w:val="en-US"/>
              </w:rPr>
            </w:pPr>
          </w:p>
        </w:tc>
        <w:tc>
          <w:tcPr>
            <w:tcW w:w="850" w:type="dxa"/>
            <w:noWrap/>
            <w:hideMark/>
          </w:tcPr>
          <w:p w14:paraId="620E5D8A" w14:textId="79186F36" w:rsidR="00ED7CC7" w:rsidRPr="0023666E" w:rsidRDefault="00CC430C"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NR</w:t>
            </w:r>
          </w:p>
        </w:tc>
        <w:tc>
          <w:tcPr>
            <w:tcW w:w="1418" w:type="dxa"/>
            <w:noWrap/>
            <w:hideMark/>
          </w:tcPr>
          <w:p w14:paraId="5C276487" w14:textId="648748CE" w:rsidR="00ED7CC7" w:rsidRPr="0023666E" w:rsidRDefault="00ED7CC7" w:rsidP="00821540">
            <w:pPr>
              <w:spacing w:line="480" w:lineRule="auto"/>
              <w:jc w:val="right"/>
              <w:rPr>
                <w:rFonts w:ascii="Times New Roman" w:hAnsi="Times New Roman" w:cs="Times New Roman"/>
                <w:sz w:val="22"/>
                <w:szCs w:val="22"/>
                <w:lang w:val="en-US"/>
              </w:rPr>
            </w:pPr>
          </w:p>
        </w:tc>
        <w:tc>
          <w:tcPr>
            <w:tcW w:w="1086" w:type="dxa"/>
            <w:noWrap/>
            <w:hideMark/>
          </w:tcPr>
          <w:p w14:paraId="6E48705F" w14:textId="0361A074" w:rsidR="00ED7CC7" w:rsidRPr="0023666E" w:rsidRDefault="00CC430C"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NR</w:t>
            </w:r>
          </w:p>
        </w:tc>
        <w:tc>
          <w:tcPr>
            <w:tcW w:w="1418" w:type="dxa"/>
            <w:noWrap/>
            <w:hideMark/>
          </w:tcPr>
          <w:p w14:paraId="6C0BEAD7"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3</w:t>
            </w:r>
          </w:p>
        </w:tc>
        <w:tc>
          <w:tcPr>
            <w:tcW w:w="850" w:type="dxa"/>
            <w:noWrap/>
            <w:hideMark/>
          </w:tcPr>
          <w:p w14:paraId="203D1D8A"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15.3</w:t>
            </w:r>
          </w:p>
        </w:tc>
        <w:tc>
          <w:tcPr>
            <w:tcW w:w="1418" w:type="dxa"/>
            <w:noWrap/>
            <w:hideMark/>
          </w:tcPr>
          <w:p w14:paraId="63A2EC1B"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2</w:t>
            </w:r>
          </w:p>
        </w:tc>
        <w:tc>
          <w:tcPr>
            <w:tcW w:w="1134" w:type="dxa"/>
            <w:noWrap/>
            <w:hideMark/>
          </w:tcPr>
          <w:p w14:paraId="7C48B1C1" w14:textId="77777777" w:rsidR="00ED7CC7" w:rsidRPr="0023666E" w:rsidRDefault="00ED7CC7" w:rsidP="00821540">
            <w:pPr>
              <w:spacing w:line="480" w:lineRule="auto"/>
              <w:jc w:val="right"/>
              <w:rPr>
                <w:rFonts w:ascii="Times New Roman" w:hAnsi="Times New Roman" w:cs="Times New Roman"/>
                <w:sz w:val="22"/>
                <w:szCs w:val="22"/>
                <w:lang w:val="en-US"/>
              </w:rPr>
            </w:pPr>
            <w:r w:rsidRPr="0023666E">
              <w:rPr>
                <w:rFonts w:ascii="Times New Roman" w:hAnsi="Times New Roman" w:cs="Times New Roman"/>
                <w:sz w:val="22"/>
                <w:szCs w:val="22"/>
                <w:lang w:val="en-US"/>
              </w:rPr>
              <w:t>15.4</w:t>
            </w:r>
          </w:p>
        </w:tc>
      </w:tr>
    </w:tbl>
    <w:p w14:paraId="4E30BCBA" w14:textId="349E8479" w:rsidR="006D59F2" w:rsidRPr="00D521BD" w:rsidRDefault="006D59F2" w:rsidP="006D59F2">
      <w:pPr>
        <w:spacing w:line="480" w:lineRule="auto"/>
        <w:rPr>
          <w:rFonts w:ascii="Times New Roman" w:hAnsi="Times New Roman" w:cs="Times New Roman"/>
          <w:lang w:val="en-US"/>
        </w:rPr>
      </w:pPr>
      <w:r w:rsidRPr="00D521BD">
        <w:rPr>
          <w:rFonts w:ascii="Times New Roman" w:hAnsi="Times New Roman" w:cs="Times New Roman"/>
          <w:lang w:val="en-US"/>
        </w:rPr>
        <w:t>*</w:t>
      </w:r>
      <w:r w:rsidRPr="006D59F2">
        <w:rPr>
          <w:rFonts w:ascii="Times New Roman" w:hAnsi="Times New Roman" w:cs="Times New Roman"/>
          <w:lang w:val="en-US"/>
        </w:rPr>
        <w:t>AE%</w:t>
      </w:r>
      <w:r>
        <w:rPr>
          <w:rFonts w:ascii="Times New Roman" w:hAnsi="Times New Roman" w:cs="Times New Roman"/>
          <w:lang w:val="en-US"/>
        </w:rPr>
        <w:t xml:space="preserve"> (occurrence rate): p</w:t>
      </w:r>
      <w:r w:rsidRPr="006D59F2">
        <w:rPr>
          <w:rFonts w:ascii="Times New Roman" w:hAnsi="Times New Roman" w:cs="Times New Roman"/>
          <w:lang w:val="en-US"/>
        </w:rPr>
        <w:t xml:space="preserve">roportion of patients who experienced </w:t>
      </w:r>
      <w:r w:rsidR="00B635C9">
        <w:rPr>
          <w:rFonts w:ascii="Times New Roman" w:hAnsi="Times New Roman" w:cs="Times New Roman"/>
          <w:lang w:val="en-US"/>
        </w:rPr>
        <w:t>the</w:t>
      </w:r>
      <w:r w:rsidRPr="006D59F2">
        <w:rPr>
          <w:rFonts w:ascii="Times New Roman" w:hAnsi="Times New Roman" w:cs="Times New Roman"/>
          <w:lang w:val="en-US"/>
        </w:rPr>
        <w:t xml:space="preserve"> adverse event due to prone positioning divided by the total number of patients who received prone positioning from original studies contributing data.</w:t>
      </w:r>
    </w:p>
    <w:p w14:paraId="099EC133" w14:textId="563D6A32" w:rsidR="007F7B58" w:rsidRDefault="006D59F2" w:rsidP="007F7B58">
      <w:pPr>
        <w:spacing w:line="480" w:lineRule="auto"/>
        <w:rPr>
          <w:rFonts w:ascii="Times New Roman" w:hAnsi="Times New Roman" w:cs="Times New Roman"/>
          <w:lang w:val="en-US"/>
        </w:rPr>
      </w:pPr>
      <w:r w:rsidRPr="006D59F2">
        <w:rPr>
          <w:rFonts w:ascii="Times New Roman" w:hAnsi="Times New Roman" w:cs="Times New Roman"/>
          <w:lang w:val="en-US"/>
        </w:rPr>
        <w:t>†</w:t>
      </w:r>
      <w:r w:rsidR="007F7B58" w:rsidRPr="00D521BD">
        <w:rPr>
          <w:rFonts w:ascii="Times New Roman" w:hAnsi="Times New Roman" w:cs="Times New Roman"/>
          <w:lang w:val="en-US"/>
        </w:rPr>
        <w:t xml:space="preserve">No. studies </w:t>
      </w:r>
      <w:r w:rsidR="000E2581" w:rsidRPr="00D521BD">
        <w:rPr>
          <w:rFonts w:ascii="Times New Roman" w:hAnsi="Times New Roman" w:cs="Times New Roman"/>
          <w:lang w:val="en-US"/>
        </w:rPr>
        <w:t>contributing</w:t>
      </w:r>
      <w:r w:rsidR="007F7B58" w:rsidRPr="00D521BD">
        <w:rPr>
          <w:rFonts w:ascii="Times New Roman" w:hAnsi="Times New Roman" w:cs="Times New Roman"/>
          <w:lang w:val="en-US"/>
        </w:rPr>
        <w:t xml:space="preserve"> data: counting studies that collected data on adverse events, regardless of whether an event occurred.</w:t>
      </w:r>
    </w:p>
    <w:p w14:paraId="13554C0D" w14:textId="2D00CF7C" w:rsidR="00370D04" w:rsidRDefault="002A3C36" w:rsidP="007F7B58">
      <w:pPr>
        <w:spacing w:line="480" w:lineRule="auto"/>
        <w:rPr>
          <w:rFonts w:ascii="Times New Roman" w:hAnsi="Times New Roman" w:cs="Times New Roman"/>
          <w:lang w:val="en-US"/>
        </w:rPr>
      </w:pPr>
      <w:r w:rsidRPr="00D521BD">
        <w:rPr>
          <w:rFonts w:ascii="Times New Roman" w:hAnsi="Times New Roman" w:cs="Times New Roman"/>
          <w:lang w:val="en-US"/>
        </w:rPr>
        <w:lastRenderedPageBreak/>
        <w:t xml:space="preserve">AE = adverse event, VAP = ventilation-associated pneumonia, ETT = endotracheal extubation, </w:t>
      </w:r>
      <w:r w:rsidR="00CC430C">
        <w:rPr>
          <w:rFonts w:ascii="Times New Roman" w:hAnsi="Times New Roman" w:cs="Times New Roman"/>
          <w:lang w:val="en-US"/>
        </w:rPr>
        <w:t xml:space="preserve">NR </w:t>
      </w:r>
      <w:r w:rsidRPr="00D521BD">
        <w:rPr>
          <w:rFonts w:ascii="Times New Roman" w:hAnsi="Times New Roman" w:cs="Times New Roman"/>
          <w:lang w:val="en-US"/>
        </w:rPr>
        <w:t xml:space="preserve">= not </w:t>
      </w:r>
      <w:r w:rsidR="00CC430C">
        <w:rPr>
          <w:rFonts w:ascii="Times New Roman" w:hAnsi="Times New Roman" w:cs="Times New Roman"/>
          <w:lang w:val="en-US"/>
        </w:rPr>
        <w:t>reported</w:t>
      </w:r>
      <w:r w:rsidR="00CC2B2A">
        <w:rPr>
          <w:rFonts w:ascii="Times New Roman" w:hAnsi="Times New Roman" w:cs="Times New Roman"/>
          <w:lang w:val="en-US"/>
        </w:rPr>
        <w:t>, RCT = randomized controlled trial</w:t>
      </w:r>
    </w:p>
    <w:p w14:paraId="4A534FC3" w14:textId="5D24992D" w:rsidR="00370D04" w:rsidRDefault="00370D04" w:rsidP="007F7B58">
      <w:pPr>
        <w:spacing w:line="480" w:lineRule="auto"/>
        <w:rPr>
          <w:rFonts w:ascii="Times New Roman" w:hAnsi="Times New Roman" w:cs="Times New Roman"/>
          <w:lang w:val="en-US"/>
        </w:rPr>
      </w:pPr>
      <w:r w:rsidRPr="00370D04">
        <w:rPr>
          <w:rFonts w:ascii="Times New Roman" w:hAnsi="Times New Roman" w:cs="Times New Roman"/>
          <w:b/>
          <w:lang w:val="en-US"/>
        </w:rPr>
        <w:t>Refere</w:t>
      </w:r>
      <w:r w:rsidR="006D59F2">
        <w:rPr>
          <w:rFonts w:ascii="Times New Roman" w:hAnsi="Times New Roman" w:cs="Times New Roman"/>
          <w:b/>
          <w:lang w:val="en-US"/>
        </w:rPr>
        <w:t>nc</w:t>
      </w:r>
      <w:r w:rsidRPr="00370D04">
        <w:rPr>
          <w:rFonts w:ascii="Times New Roman" w:hAnsi="Times New Roman" w:cs="Times New Roman"/>
          <w:b/>
          <w:lang w:val="en-US"/>
        </w:rPr>
        <w:t>es for Table S5</w:t>
      </w:r>
    </w:p>
    <w:p w14:paraId="0427C7BA" w14:textId="731FD7E1" w:rsidR="0022489C" w:rsidRPr="0022489C" w:rsidRDefault="00370D04" w:rsidP="0022489C">
      <w:pPr>
        <w:widowControl w:val="0"/>
        <w:autoSpaceDE w:val="0"/>
        <w:autoSpaceDN w:val="0"/>
        <w:adjustRightInd w:val="0"/>
        <w:spacing w:line="480" w:lineRule="auto"/>
        <w:ind w:left="640" w:hanging="640"/>
        <w:rPr>
          <w:rFonts w:ascii="Times New Roman" w:hAnsi="Times New Roman" w:cs="Times New Roman"/>
          <w:noProof/>
          <w:lang w:val="es-ES"/>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0022489C" w:rsidRPr="0022489C">
        <w:rPr>
          <w:rFonts w:ascii="Times New Roman" w:hAnsi="Times New Roman" w:cs="Times New Roman"/>
          <w:noProof/>
          <w:lang w:val="es-ES"/>
        </w:rPr>
        <w:t xml:space="preserve">1. </w:t>
      </w:r>
      <w:r w:rsidR="0022489C" w:rsidRPr="0022489C">
        <w:rPr>
          <w:rFonts w:ascii="Times New Roman" w:hAnsi="Times New Roman" w:cs="Times New Roman"/>
          <w:noProof/>
          <w:lang w:val="es-ES"/>
        </w:rPr>
        <w:tab/>
        <w:t xml:space="preserve">Lee JM, Bae W, Lee YJ, Cho Y-J. The Efficacy and Safety of Prone Positional Ventilation in Acute Respiratory Distress Syndrome. Crit Care Med 2014;42(5):1252–62. </w:t>
      </w:r>
    </w:p>
    <w:p w14:paraId="0525D476" w14:textId="77777777" w:rsidR="0022489C" w:rsidRPr="0022489C" w:rsidRDefault="0022489C" w:rsidP="0022489C">
      <w:pPr>
        <w:widowControl w:val="0"/>
        <w:autoSpaceDE w:val="0"/>
        <w:autoSpaceDN w:val="0"/>
        <w:adjustRightInd w:val="0"/>
        <w:spacing w:line="480" w:lineRule="auto"/>
        <w:ind w:left="640" w:hanging="640"/>
        <w:rPr>
          <w:rFonts w:ascii="Times New Roman" w:hAnsi="Times New Roman" w:cs="Times New Roman"/>
          <w:noProof/>
          <w:lang w:val="es-ES"/>
        </w:rPr>
      </w:pPr>
      <w:r w:rsidRPr="0022489C">
        <w:rPr>
          <w:rFonts w:ascii="Times New Roman" w:hAnsi="Times New Roman" w:cs="Times New Roman"/>
          <w:noProof/>
          <w:lang w:val="es-ES"/>
        </w:rPr>
        <w:t xml:space="preserve">2. </w:t>
      </w:r>
      <w:r w:rsidRPr="0022489C">
        <w:rPr>
          <w:rFonts w:ascii="Times New Roman" w:hAnsi="Times New Roman" w:cs="Times New Roman"/>
          <w:noProof/>
          <w:lang w:val="es-ES"/>
        </w:rPr>
        <w:tab/>
        <w:t xml:space="preserve">Park SY, Kim HJ, Yoo KH, Park YB, Kim SW, Lee SJ, et al. The efficacy and safety of prone positioning in adults patients with acute respiratory distress syndrome: a meta-analysis of randomized controlled trials. J Thorac Dis 2015;7(3):356–67. </w:t>
      </w:r>
    </w:p>
    <w:p w14:paraId="17545496" w14:textId="77777777" w:rsidR="0022489C" w:rsidRPr="0022489C" w:rsidRDefault="0022489C" w:rsidP="0022489C">
      <w:pPr>
        <w:widowControl w:val="0"/>
        <w:autoSpaceDE w:val="0"/>
        <w:autoSpaceDN w:val="0"/>
        <w:adjustRightInd w:val="0"/>
        <w:spacing w:line="480" w:lineRule="auto"/>
        <w:ind w:left="640" w:hanging="640"/>
        <w:rPr>
          <w:rFonts w:ascii="Times New Roman" w:hAnsi="Times New Roman" w:cs="Times New Roman"/>
          <w:noProof/>
          <w:lang w:val="es-ES"/>
        </w:rPr>
      </w:pPr>
      <w:r w:rsidRPr="0022489C">
        <w:rPr>
          <w:rFonts w:ascii="Times New Roman" w:hAnsi="Times New Roman" w:cs="Times New Roman"/>
          <w:noProof/>
          <w:lang w:val="es-ES"/>
        </w:rPr>
        <w:t xml:space="preserve">3. </w:t>
      </w:r>
      <w:r w:rsidRPr="0022489C">
        <w:rPr>
          <w:rFonts w:ascii="Times New Roman" w:hAnsi="Times New Roman" w:cs="Times New Roman"/>
          <w:noProof/>
          <w:lang w:val="es-ES"/>
        </w:rPr>
        <w:tab/>
        <w:t xml:space="preserve">Mora-Arteaga JA, Bernal-Ramírez OJ, Rodríguez SJ. Efecto de la ventilación mecánica en posición prona en pacientes con síndrome de dificultad respiratoria aguda. Una revisión sistemática y metanálisis. Med Intensiva 2015;39(6):352–65. </w:t>
      </w:r>
    </w:p>
    <w:p w14:paraId="193DCE4B" w14:textId="77777777" w:rsidR="0022489C" w:rsidRPr="0022489C" w:rsidRDefault="0022489C" w:rsidP="0022489C">
      <w:pPr>
        <w:widowControl w:val="0"/>
        <w:autoSpaceDE w:val="0"/>
        <w:autoSpaceDN w:val="0"/>
        <w:adjustRightInd w:val="0"/>
        <w:spacing w:line="480" w:lineRule="auto"/>
        <w:ind w:left="640" w:hanging="640"/>
        <w:rPr>
          <w:rFonts w:ascii="Times New Roman" w:hAnsi="Times New Roman" w:cs="Times New Roman"/>
          <w:noProof/>
        </w:rPr>
      </w:pPr>
      <w:r w:rsidRPr="0022489C">
        <w:rPr>
          <w:rFonts w:ascii="Times New Roman" w:hAnsi="Times New Roman" w:cs="Times New Roman"/>
          <w:noProof/>
          <w:lang w:val="es-ES"/>
        </w:rPr>
        <w:t xml:space="preserve">4. </w:t>
      </w:r>
      <w:r w:rsidRPr="0022489C">
        <w:rPr>
          <w:rFonts w:ascii="Times New Roman" w:hAnsi="Times New Roman" w:cs="Times New Roman"/>
          <w:noProof/>
          <w:lang w:val="es-ES"/>
        </w:rPr>
        <w:tab/>
        <w:t xml:space="preserve">Bloomfield R, Noble DW, Sudlow A. Prone position for acute respiratory failure in adults. Cochrane Database Syst Rev 2015;(11):CD008095. </w:t>
      </w:r>
    </w:p>
    <w:p w14:paraId="7927B8CA" w14:textId="56FD6902" w:rsidR="00370D04" w:rsidRPr="00D521BD" w:rsidRDefault="00370D04" w:rsidP="0022489C">
      <w:pPr>
        <w:widowControl w:val="0"/>
        <w:autoSpaceDE w:val="0"/>
        <w:autoSpaceDN w:val="0"/>
        <w:adjustRightInd w:val="0"/>
        <w:spacing w:line="480" w:lineRule="auto"/>
        <w:ind w:left="640" w:hanging="640"/>
        <w:rPr>
          <w:rFonts w:ascii="Times New Roman" w:hAnsi="Times New Roman" w:cs="Times New Roman"/>
          <w:lang w:val="en-US"/>
        </w:rPr>
      </w:pPr>
      <w:r>
        <w:rPr>
          <w:rFonts w:ascii="Times New Roman" w:hAnsi="Times New Roman" w:cs="Times New Roman"/>
          <w:lang w:val="en-US"/>
        </w:rPr>
        <w:fldChar w:fldCharType="end"/>
      </w:r>
    </w:p>
    <w:sectPr w:rsidR="00370D04" w:rsidRPr="00D521BD" w:rsidSect="0065722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visionView w:markup="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C7"/>
    <w:rsid w:val="000675D2"/>
    <w:rsid w:val="000C6A7E"/>
    <w:rsid w:val="000E2581"/>
    <w:rsid w:val="0022489C"/>
    <w:rsid w:val="0023666E"/>
    <w:rsid w:val="00261728"/>
    <w:rsid w:val="002A3C36"/>
    <w:rsid w:val="003420D4"/>
    <w:rsid w:val="00370D04"/>
    <w:rsid w:val="003C6084"/>
    <w:rsid w:val="003C78D4"/>
    <w:rsid w:val="003D22F3"/>
    <w:rsid w:val="00545ECC"/>
    <w:rsid w:val="005B02E1"/>
    <w:rsid w:val="00657220"/>
    <w:rsid w:val="0069782A"/>
    <w:rsid w:val="006D59F2"/>
    <w:rsid w:val="007554A2"/>
    <w:rsid w:val="00783205"/>
    <w:rsid w:val="007F7B58"/>
    <w:rsid w:val="00820BFD"/>
    <w:rsid w:val="00821540"/>
    <w:rsid w:val="00903303"/>
    <w:rsid w:val="00A92999"/>
    <w:rsid w:val="00B635C9"/>
    <w:rsid w:val="00CC2B2A"/>
    <w:rsid w:val="00CC430C"/>
    <w:rsid w:val="00D521BD"/>
    <w:rsid w:val="00D75433"/>
    <w:rsid w:val="00DA5ECC"/>
    <w:rsid w:val="00E00B96"/>
    <w:rsid w:val="00E937F9"/>
    <w:rsid w:val="00E955AC"/>
    <w:rsid w:val="00ED7CC7"/>
    <w:rsid w:val="00F15079"/>
    <w:rsid w:val="00F6494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C55B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D7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D7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65670">
      <w:bodyDiv w:val="1"/>
      <w:marLeft w:val="0"/>
      <w:marRight w:val="0"/>
      <w:marTop w:val="0"/>
      <w:marBottom w:val="0"/>
      <w:divBdr>
        <w:top w:val="none" w:sz="0" w:space="0" w:color="auto"/>
        <w:left w:val="none" w:sz="0" w:space="0" w:color="auto"/>
        <w:bottom w:val="none" w:sz="0" w:space="0" w:color="auto"/>
        <w:right w:val="none" w:sz="0" w:space="0" w:color="auto"/>
      </w:divBdr>
    </w:div>
    <w:div w:id="19434912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2617</Words>
  <Characters>14397</Characters>
  <Application>Microsoft Macintosh Word</Application>
  <DocSecurity>0</DocSecurity>
  <Lines>119</Lines>
  <Paragraphs>33</Paragraphs>
  <ScaleCrop>false</ScaleCrop>
  <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González Seguel</dc:creator>
  <cp:keywords/>
  <dc:description/>
  <cp:lastModifiedBy>Felipe González Seguel</cp:lastModifiedBy>
  <cp:revision>31</cp:revision>
  <dcterms:created xsi:type="dcterms:W3CDTF">2021-04-02T21:18:00Z</dcterms:created>
  <dcterms:modified xsi:type="dcterms:W3CDTF">2021-05-22T17:22:00Z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74464124-6c64-3f4e-9293-2f45d7b8ae4e</vt:lpwstr>
  </property>
  <property fmtid="{D5CDD505-2E9C-101B-9397-08002B2CF9AE}" pid="4" name="Mendeley Citation Style_1">
    <vt:lpwstr>http://csl.mendeley.com/styles/484795481/vancouver-superscript-3</vt:lpwstr>
  </property>
  <property fmtid="{D5CDD505-2E9C-101B-9397-08002B2CF9AE}" pid="5" name="Mendeley Recent Style Id 0_1">
    <vt:lpwstr>http://www.zotero.org/styles/american-journal-of-respiratory-and-critical-care-medicine</vt:lpwstr>
  </property>
  <property fmtid="{D5CDD505-2E9C-101B-9397-08002B2CF9AE}" pid="6" name="Mendeley Recent Style Name 0_1">
    <vt:lpwstr>American Journal of Respiratory and Critical Care Medicine</vt:lpwstr>
  </property>
  <property fmtid="{D5CDD505-2E9C-101B-9397-08002B2CF9AE}" pid="7" name="Mendeley Recent Style Id 1_1">
    <vt:lpwstr>https://csl.mendeley.com/styles/484795481/RC2-7</vt:lpwstr>
  </property>
  <property fmtid="{D5CDD505-2E9C-101B-9397-08002B2CF9AE}" pid="8" name="Mendeley Recent Style Name 1_1">
    <vt:lpwstr>American Journal of Respiratory and Critical Care Medicine - Felipe González-Seguel</vt:lpwstr>
  </property>
  <property fmtid="{D5CDD505-2E9C-101B-9397-08002B2CF9AE}" pid="9" name="Mendeley Recent Style Id 2_1">
    <vt:lpwstr>http://www.zotero.org/styles/american-medical-association</vt:lpwstr>
  </property>
  <property fmtid="{D5CDD505-2E9C-101B-9397-08002B2CF9AE}" pid="10" name="Mendeley Recent Style Name 2_1">
    <vt:lpwstr>American Medical Association</vt:lpwstr>
  </property>
  <property fmtid="{D5CDD505-2E9C-101B-9397-08002B2CF9AE}" pid="11" name="Mendeley Recent Style Id 3_1">
    <vt:lpwstr>https://csl.mendeley.com/styles/484795481/RC</vt:lpwstr>
  </property>
  <property fmtid="{D5CDD505-2E9C-101B-9397-08002B2CF9AE}" pid="12" name="Mendeley Recent Style Name 3_1">
    <vt:lpwstr>Elsevier - Vancouver - Felipe González-Seguel</vt:lpwstr>
  </property>
  <property fmtid="{D5CDD505-2E9C-101B-9397-08002B2CF9AE}" pid="13" name="Mendeley Recent Style Id 4_1">
    <vt:lpwstr>http://www.zotero.org/styles/journal-of-intensive-care</vt:lpwstr>
  </property>
  <property fmtid="{D5CDD505-2E9C-101B-9397-08002B2CF9AE}" pid="14" name="Mendeley Recent Style Name 4_1">
    <vt:lpwstr>Journal of Intensive Care</vt:lpwstr>
  </property>
  <property fmtid="{D5CDD505-2E9C-101B-9397-08002B2CF9AE}" pid="15" name="Mendeley Recent Style Id 5_1">
    <vt:lpwstr>http://csl.mendeley.com/styles/484795481/vancouver-superscript-3</vt:lpwstr>
  </property>
  <property fmtid="{D5CDD505-2E9C-101B-9397-08002B2CF9AE}" pid="16" name="Mendeley Recent Style Name 5_1">
    <vt:lpwstr>Respiratory Care 2021</vt:lpwstr>
  </property>
  <property fmtid="{D5CDD505-2E9C-101B-9397-08002B2CF9AE}" pid="17" name="Mendeley Recent Style Id 6_1">
    <vt:lpwstr>http://www.zotero.org/styles/vancouver</vt:lpwstr>
  </property>
  <property fmtid="{D5CDD505-2E9C-101B-9397-08002B2CF9AE}" pid="18" name="Mendeley Recent Style Name 6_1">
    <vt:lpwstr>Vancouver</vt:lpwstr>
  </property>
  <property fmtid="{D5CDD505-2E9C-101B-9397-08002B2CF9AE}" pid="19" name="Mendeley Recent Style Id 7_1">
    <vt:lpwstr>http://www.zotero.org/styles/vancouver-superscript</vt:lpwstr>
  </property>
  <property fmtid="{D5CDD505-2E9C-101B-9397-08002B2CF9AE}" pid="20" name="Mendeley Recent Style Name 7_1">
    <vt:lpwstr>Vancouver (superscript)</vt:lpwstr>
  </property>
  <property fmtid="{D5CDD505-2E9C-101B-9397-08002B2CF9AE}" pid="21" name="Mendeley Recent Style Id 8_1">
    <vt:lpwstr>http://csl.mendeley.com/styles/484795481/UPTP-9</vt:lpwstr>
  </property>
  <property fmtid="{D5CDD505-2E9C-101B-9397-08002B2CF9AE}" pid="22" name="Mendeley Recent Style Name 8_1">
    <vt:lpwstr>Taylor &amp; Francis - Chicago Manual of Style (author-date) - Felipe González-Seguel, MSc©</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