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80" w:lineRule="auto"/>
        <w:ind w:left="-56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Supplement 6.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Summary of main clinical outcomes of the RCT and Quasi-RCT studies.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50.0" w:type="dxa"/>
        <w:jc w:val="left"/>
        <w:tblInd w:w="-851.0" w:type="dxa"/>
        <w:tblLayout w:type="fixed"/>
        <w:tblLook w:val="0600"/>
      </w:tblPr>
      <w:tblGrid>
        <w:gridCol w:w="1425"/>
        <w:gridCol w:w="1275"/>
        <w:gridCol w:w="180"/>
        <w:gridCol w:w="945"/>
        <w:gridCol w:w="1275"/>
        <w:gridCol w:w="1140"/>
        <w:gridCol w:w="135"/>
        <w:gridCol w:w="1305"/>
        <w:gridCol w:w="1125"/>
        <w:gridCol w:w="840"/>
        <w:gridCol w:w="1140"/>
        <w:gridCol w:w="1560"/>
        <w:gridCol w:w="1275"/>
        <w:gridCol w:w="1275"/>
        <w:gridCol w:w="855"/>
        <w:tblGridChange w:id="0">
          <w:tblGrid>
            <w:gridCol w:w="1425"/>
            <w:gridCol w:w="1275"/>
            <w:gridCol w:w="180"/>
            <w:gridCol w:w="945"/>
            <w:gridCol w:w="1275"/>
            <w:gridCol w:w="1140"/>
            <w:gridCol w:w="135"/>
            <w:gridCol w:w="1305"/>
            <w:gridCol w:w="1125"/>
            <w:gridCol w:w="840"/>
            <w:gridCol w:w="1140"/>
            <w:gridCol w:w="1560"/>
            <w:gridCol w:w="1275"/>
            <w:gridCol w:w="1275"/>
            <w:gridCol w:w="8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Study, Sample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Mortality Rate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Length of stay in ICU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Length of hospital stay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Mechanical ventilation (days)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Oxygenation, gas exchange and ventilation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Pneumonia Rate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(%)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(%)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Intervention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(%)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Control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(%)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15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d9d9d9" w:val="clear"/>
                <w:rtl w:val="0"/>
              </w:rPr>
              <w:t xml:space="preserve">RCT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Gentilello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65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27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38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(25.9)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(13.2)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16.8 ± 13.6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15.0 ± 15.6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8.5 ± 5.3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10.0 ± 8.2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&gt;0.5 = 6 (22.2)*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PEEP &gt; 5cmH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0 = 6 (22.2)*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&gt;0.5 = 16 (42.1)*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PEEP &gt; 5cmH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0 = 13 (34.2)*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5 (18.5)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13 (34.2)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Demarest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30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16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14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(50.0)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(42.8)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(37.5)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(57.1)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Summer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83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41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42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 (24.4)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11 (26.2)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 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= 283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/ 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282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(9.3)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(16.3)</w:t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Fink    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99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51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48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(19.6)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(16.7)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(1-32)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(2-74)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 (2-201)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 (5-612)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(0-32)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(0-74)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 (13.7)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 (39.6)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Clemmer     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49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23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26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 (13.0)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5 (19.2)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20.9 ± 16.15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13.9 ± 7.5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27.1 ± 16.15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19.0 ± 10.5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= 0.53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= 0.54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Nelson and Choi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100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40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60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(10.0)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(16.7)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8.6 ± 11.70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11.20 ± 15.40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32.9 ± 30.2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32.2 ± 28.2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6.9 ± 8.9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10.9 ± 15.2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deBoisblanc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120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69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51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27 (39.1)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14 (27.4)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7.8 ± 0.8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10.8 ± 1.4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17.0 ± 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18.5 ± 1.9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6.1 ± 0.9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9.9 ± 1.8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11 (22)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Traver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103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44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59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(27.3)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 (32.2)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7.0 (2-43)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5.0 (2-53)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17.5 (3-98)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17.0 (3-74)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 (O-28)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 (O-24)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(18)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 (29)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Whiteman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69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33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36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29.80 ± 27.52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32 ± 46.53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13.80 ± 11.49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16.10 ± 20.60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(33)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 (38.8)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MacIntyre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104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53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51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efefef" w:val="clear"/>
                <w:rtl w:val="0"/>
              </w:rPr>
              <w:t xml:space="preserve">8 (15.1)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efefef" w:val="clear"/>
                <w:rtl w:val="0"/>
              </w:rPr>
              <w:t xml:space="preserve">7 (13.7)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 (17.3)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 (25.5)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Bahzad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22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12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after 72h = 163 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Pulmonary compliance = 34.2 ml/cmH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after 72h = 152.7mmHg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Pulmonary compliance = 32.2 ml/cmH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Ahrens     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234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97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137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 (42.3)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 (42.3)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13.46 ± 13.21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13.64 ± 11.33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10.75 ± 12.23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10.14 ± 10.62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(14.4)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 (32.8)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Staudinger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150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75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75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28 (37.30)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27 (36.0)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25 ± 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39 ± 45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±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14 ± 23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= 241 ± 84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= 235 ± 95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(11)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17 (23)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Simonis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89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45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(26.7)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 (36.4)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15.8 (13.2; 18.4)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18.1 (15.0; 21.2)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18.1 (15.2; 21.0)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20.3 (16.6; 24.1)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248h (194; 391)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300h (232; 639)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(22)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(63.6)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Bein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27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14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 (14.3)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 (7.7)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15 (11–20)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17 (10–21)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27 (23–37)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31 (20–52)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MV free days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Within 28 days)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= 18 (13–20)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MV free days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Within 28 days)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= 14 (5–20)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= 320 (262–425)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PEEP = 12.0 (10.5–14.0)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Pplat = 20.0 (18.5–23.0)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= 223 (183–292)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PEEP = 13.5 (12–14.8)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Pplat = 24.5 (22.0–26.0)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cmH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Hanneman  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15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8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(25.0)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(28.6)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11.1 (5.4 - 23.4)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8.2 (3.6 - 14.9)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±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5.2 ± 4.3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= 105 ± 34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= 0.65 ± 0.24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= 146 ± 114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= 0.71 ± 0.32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15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Quasi - RCT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Kirschenbaum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37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17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20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 (5.9)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 (10.0)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ICU = 21 ± 2.4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All = 55 ±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ICU = 20 ± 2.1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All = 58 ±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 (17.6)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 (50)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Wang                         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= 70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(I) = 35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 (C) = 35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(17.1)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 (22.9)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 ± 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±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=   240 ± 80 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/FiO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215 ± 104 mmHg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(0)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(14.3)</w:t>
            </w:r>
          </w:p>
        </w:tc>
      </w:tr>
    </w:tbl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Data reported as mean and standard deviation;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Data reported as average only;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Data reported as median and range;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Data reported as mean and standard error;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Data provided as mean and 95% confidence interval; * Data expressed in n (%)</w:t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Legends: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RCT: Randomized controlled trials;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 (I): Intervention sample; N (C): Control sample; ICU: Intensive care unit; FiO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Fraction of inspired oxygen; PEEP: Positive end-expiratory pressure; NR: Not reported; PaO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/FiO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Relationship between arterial oxygen pressure and fraction of inspired oxygen; PaO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/PAO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Relationship between arterial partial pressure of oxygen and alveolar partial pressure of oxygen; </w:t>
      </w:r>
      <w:r w:rsidDel="00000000" w:rsidR="00000000" w:rsidRPr="00000000">
        <w:rPr>
          <w:rFonts w:ascii="Times New Roman" w:cs="Times New Roman" w:eastAsia="Times New Roman" w:hAnsi="Times New Roman"/>
          <w:color w:val="0f1111"/>
          <w:sz w:val="20"/>
          <w:szCs w:val="20"/>
          <w:rtl w:val="0"/>
        </w:rPr>
        <w:t xml:space="preserve">PaO</w:t>
      </w:r>
      <w:r w:rsidDel="00000000" w:rsidR="00000000" w:rsidRPr="00000000">
        <w:rPr>
          <w:rFonts w:ascii="Times New Roman" w:cs="Times New Roman" w:eastAsia="Times New Roman" w:hAnsi="Times New Roman"/>
          <w:color w:val="0f1111"/>
          <w:sz w:val="20"/>
          <w:szCs w:val="20"/>
          <w:vertAlign w:val="subscript"/>
          <w:rtl w:val="0"/>
        </w:rPr>
        <w:t xml:space="preserve">2:</w:t>
      </w:r>
      <w:r w:rsidDel="00000000" w:rsidR="00000000" w:rsidRPr="00000000">
        <w:rPr>
          <w:rFonts w:ascii="Times New Roman" w:cs="Times New Roman" w:eastAsia="Times New Roman" w:hAnsi="Times New Roman"/>
          <w:color w:val="0f1111"/>
          <w:sz w:val="20"/>
          <w:szCs w:val="20"/>
          <w:rtl w:val="0"/>
        </w:rPr>
        <w:t xml:space="preserve"> Blood pressure of oxygen; PaCO</w:t>
      </w:r>
      <w:r w:rsidDel="00000000" w:rsidR="00000000" w:rsidRPr="00000000">
        <w:rPr>
          <w:rFonts w:ascii="Times New Roman" w:cs="Times New Roman" w:eastAsia="Times New Roman" w:hAnsi="Times New Roman"/>
          <w:color w:val="0f1111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f1111"/>
          <w:sz w:val="20"/>
          <w:szCs w:val="20"/>
          <w:rtl w:val="0"/>
        </w:rPr>
        <w:t xml:space="preserve">: Blood pressure of carbon dioxide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MV: Mechanical ventilation.</w:t>
      </w:r>
    </w:p>
    <w:p w:rsidR="00000000" w:rsidDel="00000000" w:rsidP="00000000" w:rsidRDefault="00000000" w:rsidRPr="00000000" w14:paraId="000001C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1039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MFhj33OBba1c/HoY6wHzg20xQ==">CgMxLjA4AGorChRzdWdnZXN0LjcxaWlhbThpZ3I2dhITU0hJUkxFWSBMSU1BIENBTVBPU3IhMTAxLWpEYUg2RWpGS1BGbWxOZHpod2dkYnR0TzR4amJR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2024-01-26T21:16:00Z</dcterms:created>
  <dc:creator>Anna Luisa</dc:creator>
</cp:coreProperties>
</file>