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818D" w14:textId="16A8F080" w:rsidR="002C01BA" w:rsidRPr="002165B5" w:rsidRDefault="002C01BA" w:rsidP="002C01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14:paraId="2E6274BE" w14:textId="77777777" w:rsidR="00D33777" w:rsidRPr="002165B5" w:rsidRDefault="00D33777" w:rsidP="00DA032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7D7285" w14:textId="1CBCC0FF" w:rsidR="00D33777" w:rsidRPr="00691F0B" w:rsidRDefault="00FC28CD" w:rsidP="00D33777">
      <w:pPr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Supplemental e-</w:t>
      </w:r>
      <w:r w:rsidR="00D33777" w:rsidRPr="002165B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A5B16" w:rsidRPr="002165B5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D33777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5B16" w:rsidRPr="002165B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33777"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A1C0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3A5B16" w:rsidRPr="002165B5">
        <w:rPr>
          <w:rFonts w:ascii="Times New Roman" w:hAnsi="Times New Roman" w:cs="Times New Roman"/>
          <w:bCs/>
          <w:sz w:val="24"/>
          <w:szCs w:val="24"/>
          <w:lang w:val="en-US"/>
        </w:rPr>
        <w:t>linical pulmonary infection score</w:t>
      </w:r>
      <w:r w:rsidR="00866B21"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(CPIS)</w:t>
      </w:r>
      <w:r w:rsidR="00866B21" w:rsidRPr="002165B5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</w:p>
    <w:tbl>
      <w:tblPr>
        <w:tblStyle w:val="Grilledutableau"/>
        <w:tblW w:w="9349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266"/>
      </w:tblGrid>
      <w:tr w:rsidR="00D33777" w:rsidRPr="002165B5" w14:paraId="21CDA22B" w14:textId="77777777" w:rsidTr="00691F0B">
        <w:tc>
          <w:tcPr>
            <w:tcW w:w="2265" w:type="dxa"/>
          </w:tcPr>
          <w:p w14:paraId="049494CD" w14:textId="4208F588" w:rsidR="00D33777" w:rsidRPr="002165B5" w:rsidRDefault="00D33777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CPIS Points</w:t>
            </w:r>
          </w:p>
        </w:tc>
        <w:tc>
          <w:tcPr>
            <w:tcW w:w="2408" w:type="dxa"/>
          </w:tcPr>
          <w:p w14:paraId="531D3B56" w14:textId="6CC0477B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14:paraId="237A3B4B" w14:textId="2FA39F3F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</w:tcPr>
          <w:p w14:paraId="2341790D" w14:textId="332108A2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33777" w:rsidRPr="002165B5" w14:paraId="637E6584" w14:textId="77777777" w:rsidTr="00691F0B">
        <w:tc>
          <w:tcPr>
            <w:tcW w:w="2265" w:type="dxa"/>
          </w:tcPr>
          <w:p w14:paraId="68D3192B" w14:textId="6C5D2475" w:rsidR="00D33777" w:rsidRPr="002165B5" w:rsidRDefault="00D33777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Tracheal secretions</w:t>
            </w:r>
          </w:p>
        </w:tc>
        <w:tc>
          <w:tcPr>
            <w:tcW w:w="2408" w:type="dxa"/>
          </w:tcPr>
          <w:p w14:paraId="057986C1" w14:textId="754A6450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Rare</w:t>
            </w:r>
          </w:p>
        </w:tc>
        <w:tc>
          <w:tcPr>
            <w:tcW w:w="2410" w:type="dxa"/>
          </w:tcPr>
          <w:p w14:paraId="22333E75" w14:textId="4D2A217F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2266" w:type="dxa"/>
          </w:tcPr>
          <w:p w14:paraId="22EFC5A7" w14:textId="703937E5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Abundant + purulent</w:t>
            </w:r>
          </w:p>
        </w:tc>
      </w:tr>
      <w:tr w:rsidR="00D33777" w:rsidRPr="002165B5" w14:paraId="40AB299F" w14:textId="77777777" w:rsidTr="00691F0B">
        <w:tc>
          <w:tcPr>
            <w:tcW w:w="2265" w:type="dxa"/>
          </w:tcPr>
          <w:p w14:paraId="03096E98" w14:textId="572C7233" w:rsidR="00D33777" w:rsidRPr="002165B5" w:rsidRDefault="00D33777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Chest X-ray infiltrates</w:t>
            </w:r>
          </w:p>
        </w:tc>
        <w:tc>
          <w:tcPr>
            <w:tcW w:w="2408" w:type="dxa"/>
          </w:tcPr>
          <w:p w14:paraId="1BE47771" w14:textId="1044A6BE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="005A1C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</w:t>
            </w:r>
          </w:p>
        </w:tc>
        <w:tc>
          <w:tcPr>
            <w:tcW w:w="2410" w:type="dxa"/>
          </w:tcPr>
          <w:p w14:paraId="26C6E2B3" w14:textId="34BD9207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Diffuse</w:t>
            </w:r>
          </w:p>
        </w:tc>
        <w:tc>
          <w:tcPr>
            <w:tcW w:w="2266" w:type="dxa"/>
          </w:tcPr>
          <w:p w14:paraId="36F3C3CC" w14:textId="7905D7EA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Localized</w:t>
            </w:r>
          </w:p>
        </w:tc>
      </w:tr>
      <w:tr w:rsidR="00D33777" w:rsidRPr="002165B5" w14:paraId="1FF249BE" w14:textId="77777777" w:rsidTr="00691F0B">
        <w:tc>
          <w:tcPr>
            <w:tcW w:w="2265" w:type="dxa"/>
          </w:tcPr>
          <w:p w14:paraId="0168A1AA" w14:textId="6F1814FA" w:rsidR="00D33777" w:rsidRPr="002165B5" w:rsidRDefault="00D33777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Temperature, °C</w:t>
            </w:r>
          </w:p>
        </w:tc>
        <w:tc>
          <w:tcPr>
            <w:tcW w:w="2408" w:type="dxa"/>
          </w:tcPr>
          <w:p w14:paraId="260EB5A0" w14:textId="21D1BA4B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≥ 36.5 and ≤ 38.4</w:t>
            </w:r>
          </w:p>
        </w:tc>
        <w:tc>
          <w:tcPr>
            <w:tcW w:w="2410" w:type="dxa"/>
          </w:tcPr>
          <w:p w14:paraId="1D5A7DD1" w14:textId="5823478E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≥ 38.5 and ≤ 38.9</w:t>
            </w:r>
          </w:p>
        </w:tc>
        <w:tc>
          <w:tcPr>
            <w:tcW w:w="2266" w:type="dxa"/>
          </w:tcPr>
          <w:p w14:paraId="33996CDE" w14:textId="3FB4E133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≥ 39 or ≤ 36</w:t>
            </w:r>
          </w:p>
        </w:tc>
      </w:tr>
      <w:tr w:rsidR="00D33777" w:rsidRPr="002165B5" w14:paraId="73DC1D23" w14:textId="77777777" w:rsidTr="00691F0B">
        <w:tc>
          <w:tcPr>
            <w:tcW w:w="2265" w:type="dxa"/>
          </w:tcPr>
          <w:p w14:paraId="2D03CBFD" w14:textId="5DDA4BB9" w:rsidR="00D33777" w:rsidRPr="002165B5" w:rsidRDefault="003E5DEE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Leukocyte count, per mm</w:t>
            </w:r>
            <w:r w:rsidRPr="00691F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408" w:type="dxa"/>
          </w:tcPr>
          <w:p w14:paraId="05B56F76" w14:textId="6F7893EF" w:rsidR="00D33777" w:rsidRPr="002165B5" w:rsidRDefault="003E5DEE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≥ 4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 and ≤ 11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2410" w:type="dxa"/>
          </w:tcPr>
          <w:p w14:paraId="06D34278" w14:textId="7FD03387" w:rsidR="003E5DEE" w:rsidRPr="002165B5" w:rsidRDefault="003E5DEE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 4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 or &gt; 11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  <w:p w14:paraId="1C81A2BA" w14:textId="77777777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344C72C7" w14:textId="7155BE0C" w:rsidR="00D33777" w:rsidRPr="002165B5" w:rsidRDefault="003E5DEE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 4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 or &lt; 11</w:t>
            </w:r>
            <w:r w:rsidR="00691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000 </w:t>
            </w:r>
            <w:r w:rsidR="003A5B16"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band forms ≥500</w:t>
            </w:r>
          </w:p>
        </w:tc>
      </w:tr>
      <w:tr w:rsidR="00D33777" w:rsidRPr="00290B40" w14:paraId="20790256" w14:textId="77777777" w:rsidTr="00691F0B">
        <w:tc>
          <w:tcPr>
            <w:tcW w:w="2265" w:type="dxa"/>
          </w:tcPr>
          <w:p w14:paraId="5E56ABEE" w14:textId="5A5A8F3C" w:rsidR="00D33777" w:rsidRPr="002165B5" w:rsidRDefault="00866B21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PaO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3A5B16"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FiO</w:t>
            </w: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3A5B16"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mmHg</w:t>
            </w:r>
          </w:p>
        </w:tc>
        <w:tc>
          <w:tcPr>
            <w:tcW w:w="2408" w:type="dxa"/>
          </w:tcPr>
          <w:p w14:paraId="3E0EB462" w14:textId="38716F7C" w:rsidR="00D33777" w:rsidRPr="002165B5" w:rsidRDefault="003A5B16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&gt; 240 or ARDS</w:t>
            </w:r>
          </w:p>
        </w:tc>
        <w:tc>
          <w:tcPr>
            <w:tcW w:w="2410" w:type="dxa"/>
          </w:tcPr>
          <w:p w14:paraId="552AF528" w14:textId="77777777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6C0BEC66" w14:textId="5F35C9BC" w:rsidR="00D33777" w:rsidRPr="002165B5" w:rsidRDefault="003A5B16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≤240 and no evidence of ARDS</w:t>
            </w:r>
          </w:p>
        </w:tc>
      </w:tr>
      <w:tr w:rsidR="00D33777" w:rsidRPr="002165B5" w14:paraId="1A8A19C2" w14:textId="77777777" w:rsidTr="00691F0B">
        <w:tc>
          <w:tcPr>
            <w:tcW w:w="2265" w:type="dxa"/>
          </w:tcPr>
          <w:p w14:paraId="5D5B6BB1" w14:textId="5A867641" w:rsidR="00D33777" w:rsidRPr="002165B5" w:rsidRDefault="003A5B16" w:rsidP="00D337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408" w:type="dxa"/>
          </w:tcPr>
          <w:p w14:paraId="173F45F6" w14:textId="177646CB" w:rsidR="00D33777" w:rsidRPr="002165B5" w:rsidRDefault="003A5B16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2410" w:type="dxa"/>
          </w:tcPr>
          <w:p w14:paraId="716BADFB" w14:textId="77777777" w:rsidR="00D33777" w:rsidRPr="002165B5" w:rsidRDefault="00D33777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4AFE5831" w14:textId="7DC108AD" w:rsidR="00D33777" w:rsidRPr="002165B5" w:rsidRDefault="003A5B16" w:rsidP="00FC28C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Positive</w:t>
            </w:r>
          </w:p>
        </w:tc>
      </w:tr>
    </w:tbl>
    <w:p w14:paraId="7EC0E489" w14:textId="3BF72A7F" w:rsidR="00866B21" w:rsidRPr="002165B5" w:rsidRDefault="00D33777" w:rsidP="00732287">
      <w:pPr>
        <w:spacing w:before="240"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Cs/>
          <w:sz w:val="24"/>
          <w:szCs w:val="24"/>
          <w:lang w:val="en-US"/>
        </w:rPr>
        <w:t>ARDS</w:t>
      </w:r>
      <w:r w:rsidR="00866B21" w:rsidRPr="002165B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acute respiratory distress syndrome; CPIS</w:t>
      </w:r>
      <w:r w:rsidR="00866B21" w:rsidRPr="002165B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6B21" w:rsidRPr="002165B5">
        <w:rPr>
          <w:rFonts w:ascii="Times New Roman" w:hAnsi="Times New Roman" w:cs="Times New Roman"/>
          <w:bCs/>
          <w:sz w:val="24"/>
          <w:szCs w:val="24"/>
          <w:lang w:val="en-US"/>
        </w:rPr>
        <w:t>Clinical Pulmonary Infection Score</w:t>
      </w:r>
    </w:p>
    <w:p w14:paraId="3F73AECE" w14:textId="533A13BC" w:rsidR="00732287" w:rsidRPr="002165B5" w:rsidRDefault="00866B21" w:rsidP="00732287">
      <w:pPr>
        <w:spacing w:before="240" w:after="0" w:line="48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2165B5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="005A1C03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proofErr w:type="spellEnd"/>
      <w:r w:rsidR="005A1C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our study, at baseline in each patient, we determined a modified CPIS (</w:t>
      </w:r>
      <w:proofErr w:type="spellStart"/>
      <w:r w:rsidRPr="002165B5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D33777" w:rsidRPr="002165B5">
        <w:rPr>
          <w:rFonts w:ascii="Times New Roman" w:hAnsi="Times New Roman" w:cs="Times New Roman"/>
          <w:bCs/>
          <w:sz w:val="24"/>
          <w:szCs w:val="24"/>
          <w:lang w:val="en-US"/>
        </w:rPr>
        <w:t>CPIS</w:t>
      </w:r>
      <w:proofErr w:type="spellEnd"/>
      <w:r w:rsidR="005A1C0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33777"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bCs/>
          <w:sz w:val="24"/>
          <w:szCs w:val="24"/>
          <w:lang w:val="en-US"/>
        </w:rPr>
        <w:t>without the microbiological results, as these were not yet available. The full CPIS was subsequently obtained by adding two points to the mCPIS if the culture and/or Gram stain were positive.</w:t>
      </w:r>
      <w:r w:rsidRPr="002165B5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8</w:t>
      </w:r>
      <w:r w:rsidR="00D33777" w:rsidRPr="002165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B732C98" w14:textId="77777777" w:rsidR="00732287" w:rsidRPr="002165B5" w:rsidRDefault="00732287">
      <w:pPr>
        <w:rPr>
          <w:rFonts w:ascii="Times New Roman" w:hAnsi="Times New Roman" w:cs="Times New Roman"/>
          <w:sz w:val="24"/>
          <w:lang w:val="en-US"/>
        </w:rPr>
      </w:pPr>
      <w:r w:rsidRPr="002165B5">
        <w:rPr>
          <w:rFonts w:ascii="Times New Roman" w:hAnsi="Times New Roman" w:cs="Times New Roman"/>
          <w:sz w:val="24"/>
          <w:lang w:val="en-US"/>
        </w:rPr>
        <w:br w:type="page"/>
      </w:r>
    </w:p>
    <w:p w14:paraId="255AF53D" w14:textId="5FD7956E" w:rsidR="00732287" w:rsidRPr="002165B5" w:rsidRDefault="00732287" w:rsidP="0073228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Supplemental e-appendix-1</w:t>
      </w:r>
    </w:p>
    <w:p w14:paraId="2D7EEC45" w14:textId="6588613F" w:rsidR="00732287" w:rsidRPr="00417F7F" w:rsidRDefault="00732287" w:rsidP="0073228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Summary of statistical techniques used to derive </w:t>
      </w:r>
      <w:proofErr w:type="spellStart"/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>Spiegelhalter</w:t>
      </w:r>
      <w:proofErr w:type="spellEnd"/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>Knill</w:t>
      </w:r>
      <w:proofErr w:type="spellEnd"/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>-Jones weights</w:t>
      </w:r>
    </w:p>
    <w:p w14:paraId="793AD500" w14:textId="59F8D6C9" w:rsidR="00732287" w:rsidRPr="002165B5" w:rsidRDefault="00866B21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Step 1:</w:t>
      </w:r>
      <w:r w:rsidRPr="00A905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Computing </w:t>
      </w:r>
      <w:r w:rsidR="00732287"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likelihood ratio (LR)</w:t>
      </w:r>
      <w:r w:rsidRPr="00417F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each variable</w:t>
      </w:r>
    </w:p>
    <w:p w14:paraId="610A5B35" w14:textId="5E2311BA" w:rsidR="00732287" w:rsidRPr="002165B5" w:rsidRDefault="00866B21" w:rsidP="008F15D6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patients were divided into two groups based on whether they had confirmed </w:t>
      </w:r>
      <w:r w:rsidR="00417F7F">
        <w:rPr>
          <w:rFonts w:ascii="Times New Roman" w:hAnsi="Times New Roman" w:cs="Times New Roman"/>
          <w:sz w:val="24"/>
          <w:szCs w:val="24"/>
          <w:lang w:val="en-US"/>
        </w:rPr>
        <w:t>nosocomial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pneumonia (</w:t>
      </w:r>
      <w:r w:rsidR="00417F7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A standard 2x2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contingency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was created to determine the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sensitivity, specificity, and LR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presence or absence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each variable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59E3FB" w14:textId="01CEEC2C" w:rsidR="00732287" w:rsidRPr="002165B5" w:rsidRDefault="00732287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LR for presence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the variable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= sensitivity / (1-specificity)</w:t>
      </w:r>
    </w:p>
    <w:p w14:paraId="448C0B52" w14:textId="11E7C330" w:rsidR="00732287" w:rsidRPr="002165B5" w:rsidRDefault="00732287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LR for absence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the variable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= (1-sensitivity) / specificity</w:t>
      </w:r>
    </w:p>
    <w:p w14:paraId="4B9B1B49" w14:textId="795C948F" w:rsidR="00732287" w:rsidRPr="002165B5" w:rsidRDefault="008C5200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Step 2: Appl</w:t>
      </w:r>
      <w:r w:rsidR="002165B5" w:rsidRPr="002165B5">
        <w:rPr>
          <w:rFonts w:ascii="Times New Roman" w:hAnsi="Times New Roman" w:cs="Times New Roman"/>
          <w:b/>
          <w:sz w:val="24"/>
          <w:szCs w:val="24"/>
          <w:lang w:val="en-US"/>
        </w:rPr>
        <w:t>ying</w:t>
      </w:r>
      <w:r w:rsidRPr="00A90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Bayes’ </w:t>
      </w:r>
      <w:r w:rsidR="00732287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theorem </w:t>
      </w:r>
      <w:r w:rsidR="002165B5" w:rsidRPr="002165B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2165B5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comput</w:t>
      </w:r>
      <w:r w:rsidR="002165B5" w:rsidRPr="002165B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2287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1E1382">
        <w:rPr>
          <w:rFonts w:ascii="Times New Roman" w:hAnsi="Times New Roman" w:cs="Times New Roman"/>
          <w:b/>
          <w:sz w:val="24"/>
          <w:szCs w:val="24"/>
          <w:lang w:val="en-US"/>
        </w:rPr>
        <w:t>posterior</w:t>
      </w:r>
      <w:r w:rsidR="00732287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1382">
        <w:rPr>
          <w:rFonts w:ascii="Times New Roman" w:hAnsi="Times New Roman" w:cs="Times New Roman"/>
          <w:b/>
          <w:sz w:val="24"/>
          <w:szCs w:val="24"/>
          <w:lang w:val="en-US"/>
        </w:rPr>
        <w:t>odds</w:t>
      </w:r>
      <w:r w:rsidR="001E1382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2287" w:rsidRPr="00417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417F7F">
        <w:rPr>
          <w:rFonts w:ascii="Times New Roman" w:hAnsi="Times New Roman" w:cs="Times New Roman"/>
          <w:b/>
          <w:sz w:val="24"/>
          <w:szCs w:val="24"/>
          <w:lang w:val="en-US"/>
        </w:rPr>
        <w:t>NOSOP</w:t>
      </w:r>
    </w:p>
    <w:p w14:paraId="56BEFCDF" w14:textId="2DD56E4C" w:rsidR="00732287" w:rsidRPr="002165B5" w:rsidRDefault="00732287" w:rsidP="00855085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>The independence Bayes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equation </w:t>
      </w:r>
      <w:r w:rsidR="00C8052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states that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the posterior</w:t>
      </w:r>
      <w:r w:rsidR="00C8052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C8052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equal the</w:t>
      </w:r>
      <w:r w:rsidR="00855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x LR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1 x LR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2... x LR of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85508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052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4A095C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the predicted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4A095C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55085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the individual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200" w:rsidRPr="002165B5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4A095C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 of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085">
        <w:rPr>
          <w:rFonts w:ascii="Times New Roman" w:hAnsi="Times New Roman" w:cs="Times New Roman"/>
          <w:sz w:val="24"/>
          <w:szCs w:val="24"/>
          <w:lang w:val="en-US"/>
        </w:rPr>
        <w:t xml:space="preserve">NOSOP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in the study population.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F7E920" w14:textId="6FF52E20" w:rsidR="00732287" w:rsidRPr="002165B5" w:rsidRDefault="008C5200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Step 3:</w:t>
      </w:r>
      <w:r w:rsidR="00732287" w:rsidRPr="008550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Converting LR</w:t>
      </w:r>
      <w:r w:rsidR="005A67F2"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32287" w:rsidRPr="008550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into scores and weights</w:t>
      </w:r>
    </w:p>
    <w:p w14:paraId="4CCABE98" w14:textId="38066A9A" w:rsidR="00732287" w:rsidRPr="002165B5" w:rsidRDefault="00C8052A" w:rsidP="00855085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To obtain a simple summed score from the LR values, we converted the LR to its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>natural logarithm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(Ln). To allow the expression of crude weights as whole numbers, we multiplied the natural logarithm by 100 and rounded off the result. The independence Bayes’ equation was thus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100 Ln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= 100 Ln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>odds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+ 100 Ln LR of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1 +100 Ln LR of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2... + 100 Ln LR of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Pr="008550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32287" w:rsidRPr="0085508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Spiegelhalter-Knill-Jones scores-and-weights terminology, this equation becomes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Total score (T) = starting score + crude weights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1 + crude weights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2 ...+ crude weights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="00732287" w:rsidRPr="0085508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2287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starting score reflects the probability of </w:t>
      </w:r>
      <w:r w:rsidR="00855085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before the development of criteria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used to suspect </w:t>
      </w:r>
      <w:r w:rsidR="00855085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and may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vary according to the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>case-mix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9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each ICU.  </w:t>
      </w:r>
    </w:p>
    <w:p w14:paraId="18FEAD6E" w14:textId="5F59A223" w:rsidR="00732287" w:rsidRPr="002165B5" w:rsidRDefault="005A67F2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Step 4: Adjusting crude weights</w:t>
      </w:r>
    </w:p>
    <w:p w14:paraId="03ADF35D" w14:textId="70EE82CB" w:rsidR="00732287" w:rsidRPr="002165B5" w:rsidRDefault="00732287" w:rsidP="00135A3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variables used to suspect </w:t>
      </w:r>
      <w:r w:rsidR="00135A3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are rarely independent in clinical practice. Consequently, Bayes’ independence equation may substantially overestimate the probability of </w:t>
      </w:r>
      <w:r w:rsidR="00135A3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2165B5">
        <w:rPr>
          <w:rFonts w:ascii="Times New Roman" w:hAnsi="Times New Roman" w:cs="Times New Roman"/>
          <w:sz w:val="24"/>
          <w:szCs w:val="24"/>
          <w:lang w:val="en-US"/>
        </w:rPr>
        <w:t>Spiegelhalter</w:t>
      </w:r>
      <w:proofErr w:type="spellEnd"/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165B5">
        <w:rPr>
          <w:rFonts w:ascii="Times New Roman" w:hAnsi="Times New Roman" w:cs="Times New Roman"/>
          <w:sz w:val="24"/>
          <w:szCs w:val="24"/>
          <w:lang w:val="en-US"/>
        </w:rPr>
        <w:t>Knill</w:t>
      </w:r>
      <w:proofErr w:type="spellEnd"/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-Jones method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avoids such overestimation</w:t>
      </w:r>
      <w:r w:rsidR="006A3621">
        <w:rPr>
          <w:rFonts w:ascii="Times New Roman" w:hAnsi="Times New Roman" w:cs="Times New Roman"/>
          <w:sz w:val="24"/>
          <w:szCs w:val="24"/>
          <w:lang w:val="en-US"/>
        </w:rPr>
        <w:t xml:space="preserve">, since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adjusted weights of evidence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621">
        <w:rPr>
          <w:rFonts w:ascii="Times New Roman" w:hAnsi="Times New Roman" w:cs="Times New Roman"/>
          <w:sz w:val="24"/>
          <w:szCs w:val="24"/>
          <w:lang w:val="en-US"/>
        </w:rPr>
        <w:t xml:space="preserve">are computed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by entering the crude weights as independent variables in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 logistic regression equation.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We assessed goodness-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fit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by applying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the Hosmer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165B5">
        <w:rPr>
          <w:rFonts w:ascii="Times New Roman" w:hAnsi="Times New Roman" w:cs="Times New Roman"/>
          <w:sz w:val="24"/>
          <w:szCs w:val="24"/>
          <w:lang w:val="en-US"/>
        </w:rPr>
        <w:t>Lemeshow</w:t>
      </w:r>
      <w:proofErr w:type="spellEnd"/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chi-square test.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We show the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regression coefficients a</w:t>
      </w:r>
      <w:r w:rsidRPr="00135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0,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135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135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165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5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with their standard errors</w:t>
      </w:r>
      <w:r w:rsidR="00804B4C">
        <w:rPr>
          <w:rFonts w:ascii="Times New Roman" w:hAnsi="Times New Roman" w:cs="Times New Roman"/>
          <w:sz w:val="24"/>
          <w:szCs w:val="24"/>
          <w:lang w:val="en-US"/>
        </w:rPr>
        <w:t xml:space="preserve"> (SEs)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adjusted weights are computed by multiplying each crude weight by its regression coefficient. The equation then becomes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Total score (T) = a</w:t>
      </w:r>
      <w:r w:rsidRPr="00135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+ adjusted weight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1 + adjusted weight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2 ...+ adjusted weight of 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variable </w:t>
      </w:r>
      <w:r w:rsidRPr="00135A3F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5A67F2" w:rsidRPr="002165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5DD847" w14:textId="25D6BA4E" w:rsidR="00732287" w:rsidRPr="002165B5" w:rsidRDefault="005A67F2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Step 5: Converting scores back to probability of </w:t>
      </w:r>
      <w:r w:rsidR="00135A3F">
        <w:rPr>
          <w:rFonts w:ascii="Times New Roman" w:hAnsi="Times New Roman" w:cs="Times New Roman"/>
          <w:b/>
          <w:sz w:val="24"/>
          <w:szCs w:val="24"/>
          <w:lang w:val="en-US"/>
        </w:rPr>
        <w:t>NOSOP</w:t>
      </w:r>
    </w:p>
    <w:p w14:paraId="023EFD0E" w14:textId="76A20ECB" w:rsidR="00732287" w:rsidRPr="002165B5" w:rsidRDefault="00732287" w:rsidP="007322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Because T=100 (Ln </w:t>
      </w:r>
      <w:r w:rsidR="001E1382"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="006A3621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odds) and because odds = (probability of </w:t>
      </w:r>
      <w:r w:rsidR="00135A3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) / (1-probability of </w:t>
      </w:r>
      <w:r w:rsidR="00135A3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probability of </w:t>
      </w:r>
      <w:r w:rsidR="00135A3F">
        <w:rPr>
          <w:rFonts w:ascii="Times New Roman" w:hAnsi="Times New Roman" w:cs="Times New Roman"/>
          <w:sz w:val="24"/>
          <w:szCs w:val="24"/>
          <w:lang w:val="en-US"/>
        </w:rPr>
        <w:t>NOSOP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as a percentage is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165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A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proofErr w:type="spellEnd"/>
      <w:r w:rsidRPr="00135A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/100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/1+e</w:t>
      </w:r>
      <w:r w:rsidRPr="00135A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T/</w:t>
      </w:r>
      <w:proofErr w:type="gramStart"/>
      <w:r w:rsidRPr="00135A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100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)x</w:t>
      </w:r>
      <w:proofErr w:type="gramEnd"/>
      <w:r w:rsidRPr="002165B5">
        <w:rPr>
          <w:rFonts w:ascii="Times New Roman" w:hAnsi="Times New Roman" w:cs="Times New Roman"/>
          <w:sz w:val="24"/>
          <w:szCs w:val="24"/>
          <w:lang w:val="en-US"/>
        </w:rPr>
        <w:t>100=1/ (e</w:t>
      </w:r>
      <w:r w:rsidRPr="00135A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-T/100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+1)x100. This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conversion can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be performed more rapidly using a simple graph</w:t>
      </w:r>
      <w:r w:rsidR="007774D0">
        <w:rPr>
          <w:rFonts w:ascii="Times New Roman" w:hAnsi="Times New Roman" w:cs="Times New Roman"/>
          <w:sz w:val="24"/>
          <w:szCs w:val="24"/>
          <w:lang w:val="en-US"/>
        </w:rPr>
        <w:t xml:space="preserve"> (Figure 1)</w:t>
      </w:r>
    </w:p>
    <w:p w14:paraId="4BA6EB6B" w14:textId="77777777" w:rsidR="00732287" w:rsidRPr="002165B5" w:rsidRDefault="007322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43BFE69" w14:textId="77D6C943" w:rsidR="004C3B35" w:rsidRPr="002165B5" w:rsidRDefault="004C3B35" w:rsidP="00DA032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</w:t>
      </w:r>
      <w:r w:rsidR="00831854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65B5" w:rsidRPr="002165B5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831854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28CD" w:rsidRPr="002165B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E2661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>Bacteria identified from</w:t>
      </w:r>
      <w:r w:rsidR="0003549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pulmonary specimen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549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32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in 165 and 84 episodes of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confirmed hospital-acquired </w:t>
      </w:r>
      <w:r w:rsidR="00DA032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pneumonia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(HAP) </w:t>
      </w:r>
      <w:r w:rsidR="00DA0320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0320" w:rsidRPr="002165B5">
        <w:rPr>
          <w:rFonts w:ascii="Times New Roman" w:hAnsi="Times New Roman" w:cs="Times New Roman"/>
          <w:sz w:val="24"/>
          <w:szCs w:val="24"/>
          <w:lang w:val="en-US"/>
        </w:rPr>
        <w:t>derivation and validation cohorts, respectively.</w:t>
      </w:r>
      <w:r w:rsidR="00E0583F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745">
        <w:rPr>
          <w:rFonts w:ascii="Times New Roman" w:hAnsi="Times New Roman" w:cs="Times New Roman"/>
          <w:sz w:val="24"/>
          <w:szCs w:val="24"/>
          <w:lang w:val="en-US"/>
        </w:rPr>
        <w:t xml:space="preserve">For some episodes, more than one microorganism was identified. </w:t>
      </w:r>
      <w:r w:rsidR="002165B5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 data are </w:t>
      </w:r>
      <w:r w:rsidR="00E0583F" w:rsidRPr="002165B5">
        <w:rPr>
          <w:rFonts w:ascii="Times New Roman" w:hAnsi="Times New Roman" w:cs="Times New Roman"/>
          <w:sz w:val="24"/>
          <w:szCs w:val="24"/>
          <w:lang w:val="en-US"/>
        </w:rPr>
        <w:t>n (%).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270"/>
      </w:tblGrid>
      <w:tr w:rsidR="004C3B35" w:rsidRPr="002165B5" w14:paraId="76952EAF" w14:textId="77777777" w:rsidTr="000E2661">
        <w:tc>
          <w:tcPr>
            <w:tcW w:w="4390" w:type="dxa"/>
          </w:tcPr>
          <w:p w14:paraId="55555263" w14:textId="07CFF595" w:rsidR="004C3B35" w:rsidRPr="00135A3F" w:rsidRDefault="004C3B35" w:rsidP="00135A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Bacteria</w:t>
            </w:r>
          </w:p>
        </w:tc>
        <w:tc>
          <w:tcPr>
            <w:tcW w:w="1701" w:type="dxa"/>
          </w:tcPr>
          <w:p w14:paraId="540D06C7" w14:textId="77777777" w:rsidR="004C3B35" w:rsidRPr="00135A3F" w:rsidRDefault="004C3B35" w:rsidP="0013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Derivation cohort</w:t>
            </w:r>
          </w:p>
          <w:p w14:paraId="45468664" w14:textId="155AE445" w:rsidR="000E2661" w:rsidRPr="00135A3F" w:rsidRDefault="000E2661" w:rsidP="0013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(n=165)</w:t>
            </w:r>
          </w:p>
        </w:tc>
        <w:tc>
          <w:tcPr>
            <w:tcW w:w="1701" w:type="dxa"/>
          </w:tcPr>
          <w:p w14:paraId="5A371A73" w14:textId="77777777" w:rsidR="004C3B35" w:rsidRPr="00135A3F" w:rsidRDefault="004C3B35" w:rsidP="0013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Validation cohort</w:t>
            </w:r>
          </w:p>
          <w:p w14:paraId="3D9E8FC8" w14:textId="4581DE6C" w:rsidR="000E2661" w:rsidRPr="00135A3F" w:rsidRDefault="000E2661" w:rsidP="0013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(n=84)</w:t>
            </w:r>
          </w:p>
        </w:tc>
        <w:tc>
          <w:tcPr>
            <w:tcW w:w="1270" w:type="dxa"/>
          </w:tcPr>
          <w:p w14:paraId="06FEC340" w14:textId="3143A852" w:rsidR="004C3B35" w:rsidRPr="00135A3F" w:rsidRDefault="004C3B35" w:rsidP="00135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4C3B35" w:rsidRPr="002165B5" w14:paraId="27C3CE12" w14:textId="77777777" w:rsidTr="000E2661">
        <w:tc>
          <w:tcPr>
            <w:tcW w:w="4390" w:type="dxa"/>
          </w:tcPr>
          <w:p w14:paraId="4CDDB1BB" w14:textId="77777777" w:rsidR="004C3B35" w:rsidRPr="00E7568F" w:rsidRDefault="002165B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Staphylococcus</w:t>
            </w:r>
            <w:r w:rsidR="004C3B35" w:rsidRPr="00E75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aureus</w:t>
            </w:r>
          </w:p>
          <w:p w14:paraId="0E152082" w14:textId="77777777" w:rsidR="00290B40" w:rsidRPr="00E7568F" w:rsidRDefault="00290B40" w:rsidP="00290B40">
            <w:pPr>
              <w:spacing w:line="480" w:lineRule="auto"/>
              <w:ind w:firstLine="31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0410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MRSA</w:t>
            </w:r>
          </w:p>
          <w:p w14:paraId="5DA33049" w14:textId="5EC0788D" w:rsidR="00290B40" w:rsidRPr="00E7568F" w:rsidRDefault="00290B40" w:rsidP="007A4A73">
            <w:pPr>
              <w:spacing w:line="480" w:lineRule="auto"/>
              <w:ind w:firstLine="31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0410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MSSA</w:t>
            </w:r>
          </w:p>
        </w:tc>
        <w:tc>
          <w:tcPr>
            <w:tcW w:w="1701" w:type="dxa"/>
          </w:tcPr>
          <w:p w14:paraId="7D795414" w14:textId="77777777" w:rsidR="004C3B35" w:rsidRPr="00E7568F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(12.1)</w:t>
            </w:r>
          </w:p>
          <w:p w14:paraId="19B702CF" w14:textId="1E88EEA9" w:rsidR="00290B40" w:rsidRPr="0004104F" w:rsidRDefault="00290B40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434CC" w:rsidRPr="00041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(2.4%)</w:t>
            </w:r>
          </w:p>
          <w:p w14:paraId="5880576E" w14:textId="7C1C783B" w:rsidR="002434CC" w:rsidRPr="00E7568F" w:rsidRDefault="002434CC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(9.7%)</w:t>
            </w:r>
          </w:p>
        </w:tc>
        <w:tc>
          <w:tcPr>
            <w:tcW w:w="1701" w:type="dxa"/>
          </w:tcPr>
          <w:p w14:paraId="3DA96100" w14:textId="77777777" w:rsidR="004C3B35" w:rsidRPr="00E7568F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(5.9)</w:t>
            </w:r>
          </w:p>
          <w:p w14:paraId="380E1758" w14:textId="77777777" w:rsidR="002434CC" w:rsidRPr="0004104F" w:rsidRDefault="002434CC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EA6FAEA" w14:textId="71C365E5" w:rsidR="002434CC" w:rsidRPr="00E7568F" w:rsidRDefault="002434CC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(5.9%)</w:t>
            </w:r>
          </w:p>
        </w:tc>
        <w:tc>
          <w:tcPr>
            <w:tcW w:w="1270" w:type="dxa"/>
          </w:tcPr>
          <w:p w14:paraId="76F4C8AF" w14:textId="5A6721F8" w:rsidR="004C3B35" w:rsidRPr="00E7568F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4C3B35" w:rsidRPr="002165B5" w14:paraId="22B561D8" w14:textId="77777777" w:rsidTr="000E2661">
        <w:tc>
          <w:tcPr>
            <w:tcW w:w="4390" w:type="dxa"/>
          </w:tcPr>
          <w:p w14:paraId="1DC562FB" w14:textId="2468F2E8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Enterococcus sp</w:t>
            </w:r>
            <w:r w:rsid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14:paraId="3872F3E0" w14:textId="1CF9D57D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(5.4)</w:t>
            </w:r>
          </w:p>
        </w:tc>
        <w:tc>
          <w:tcPr>
            <w:tcW w:w="1701" w:type="dxa"/>
          </w:tcPr>
          <w:p w14:paraId="2D02B729" w14:textId="7D095841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(4.8)</w:t>
            </w:r>
          </w:p>
        </w:tc>
        <w:tc>
          <w:tcPr>
            <w:tcW w:w="1270" w:type="dxa"/>
          </w:tcPr>
          <w:p w14:paraId="5C39711E" w14:textId="31314679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4C3B35" w:rsidRPr="002165B5" w14:paraId="24B259D8" w14:textId="77777777" w:rsidTr="000E2661">
        <w:tc>
          <w:tcPr>
            <w:tcW w:w="4390" w:type="dxa"/>
          </w:tcPr>
          <w:p w14:paraId="23775C0F" w14:textId="00A5E66B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CE17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treptococcus</w:t>
            </w:r>
            <w:r w:rsidR="00CE1745"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pneumoniae</w:t>
            </w:r>
          </w:p>
        </w:tc>
        <w:tc>
          <w:tcPr>
            <w:tcW w:w="1701" w:type="dxa"/>
          </w:tcPr>
          <w:p w14:paraId="351374F4" w14:textId="2DC545FA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(4.2)</w:t>
            </w:r>
          </w:p>
        </w:tc>
        <w:tc>
          <w:tcPr>
            <w:tcW w:w="1701" w:type="dxa"/>
          </w:tcPr>
          <w:p w14:paraId="467A95BF" w14:textId="170EE823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(4.8)</w:t>
            </w:r>
          </w:p>
        </w:tc>
        <w:tc>
          <w:tcPr>
            <w:tcW w:w="1270" w:type="dxa"/>
          </w:tcPr>
          <w:p w14:paraId="67CFA9CF" w14:textId="0E85DDA4" w:rsidR="004C3B35" w:rsidRPr="002165B5" w:rsidRDefault="00E0583F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4C3B35" w:rsidRPr="002165B5" w14:paraId="55665809" w14:textId="77777777" w:rsidTr="000E2661">
        <w:tc>
          <w:tcPr>
            <w:tcW w:w="4390" w:type="dxa"/>
          </w:tcPr>
          <w:p w14:paraId="692D7FAB" w14:textId="7028EF5C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Oropharyngeal flora</w:t>
            </w:r>
            <w:r w:rsidR="002434CC" w:rsidRPr="007A4A7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14:paraId="1187B8E9" w14:textId="60B1AE42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(9.7)</w:t>
            </w:r>
          </w:p>
        </w:tc>
        <w:tc>
          <w:tcPr>
            <w:tcW w:w="1701" w:type="dxa"/>
          </w:tcPr>
          <w:p w14:paraId="1ECD8ACE" w14:textId="4C71BF22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(2.4)</w:t>
            </w:r>
          </w:p>
        </w:tc>
        <w:tc>
          <w:tcPr>
            <w:tcW w:w="1270" w:type="dxa"/>
          </w:tcPr>
          <w:p w14:paraId="4E52B13D" w14:textId="7EBDD7B1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4C3B35" w:rsidRPr="002165B5" w14:paraId="3BA4DDCD" w14:textId="77777777" w:rsidTr="000E2661">
        <w:tc>
          <w:tcPr>
            <w:tcW w:w="4390" w:type="dxa"/>
          </w:tcPr>
          <w:p w14:paraId="524C3A2B" w14:textId="77855A27" w:rsidR="004C3B35" w:rsidRPr="002165B5" w:rsidRDefault="00CE174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Enterobacteriaceae</w:t>
            </w:r>
          </w:p>
        </w:tc>
        <w:tc>
          <w:tcPr>
            <w:tcW w:w="1701" w:type="dxa"/>
          </w:tcPr>
          <w:p w14:paraId="516068D9" w14:textId="37A19B1B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(55.7)</w:t>
            </w:r>
          </w:p>
        </w:tc>
        <w:tc>
          <w:tcPr>
            <w:tcW w:w="1701" w:type="dxa"/>
          </w:tcPr>
          <w:p w14:paraId="7AA335E1" w14:textId="74EC1065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(71.4)</w:t>
            </w:r>
          </w:p>
        </w:tc>
        <w:tc>
          <w:tcPr>
            <w:tcW w:w="1270" w:type="dxa"/>
          </w:tcPr>
          <w:p w14:paraId="6256EBE7" w14:textId="2AA62373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4C3B35" w:rsidRPr="002165B5" w14:paraId="7215CFCF" w14:textId="77777777" w:rsidTr="000E2661">
        <w:tc>
          <w:tcPr>
            <w:tcW w:w="4390" w:type="dxa"/>
          </w:tcPr>
          <w:p w14:paraId="3EDDD5FE" w14:textId="51E08EB7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CE17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seudomonas</w:t>
            </w: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aeruginosa</w:t>
            </w:r>
          </w:p>
        </w:tc>
        <w:tc>
          <w:tcPr>
            <w:tcW w:w="1701" w:type="dxa"/>
          </w:tcPr>
          <w:p w14:paraId="5F6746EA" w14:textId="47C611C0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(23.0)</w:t>
            </w:r>
          </w:p>
        </w:tc>
        <w:tc>
          <w:tcPr>
            <w:tcW w:w="1701" w:type="dxa"/>
          </w:tcPr>
          <w:p w14:paraId="18187074" w14:textId="3F3C789A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(21.4)</w:t>
            </w:r>
          </w:p>
        </w:tc>
        <w:tc>
          <w:tcPr>
            <w:tcW w:w="1270" w:type="dxa"/>
          </w:tcPr>
          <w:p w14:paraId="7C9EC5C3" w14:textId="672E297C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4C3B35" w:rsidRPr="002165B5" w14:paraId="6470852F" w14:textId="77777777" w:rsidTr="000E2661">
        <w:tc>
          <w:tcPr>
            <w:tcW w:w="4390" w:type="dxa"/>
          </w:tcPr>
          <w:p w14:paraId="49D22FB6" w14:textId="7ADBDE13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CE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fermenting Gram</w:t>
            </w:r>
            <w:r w:rsidR="00CE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bacteria</w:t>
            </w:r>
          </w:p>
        </w:tc>
        <w:tc>
          <w:tcPr>
            <w:tcW w:w="1701" w:type="dxa"/>
          </w:tcPr>
          <w:p w14:paraId="1F7D282B" w14:textId="2F1A1077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(4.2)</w:t>
            </w:r>
          </w:p>
        </w:tc>
        <w:tc>
          <w:tcPr>
            <w:tcW w:w="1701" w:type="dxa"/>
          </w:tcPr>
          <w:p w14:paraId="1F7AC54D" w14:textId="18703753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(4.8)</w:t>
            </w:r>
          </w:p>
        </w:tc>
        <w:tc>
          <w:tcPr>
            <w:tcW w:w="1270" w:type="dxa"/>
          </w:tcPr>
          <w:p w14:paraId="43EFDFFB" w14:textId="4CABE339" w:rsidR="004C3B35" w:rsidRPr="002165B5" w:rsidRDefault="0010631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4C3B35" w:rsidRPr="002165B5" w14:paraId="0CB2459F" w14:textId="77777777" w:rsidTr="000E2661">
        <w:tc>
          <w:tcPr>
            <w:tcW w:w="4390" w:type="dxa"/>
          </w:tcPr>
          <w:p w14:paraId="4BB25695" w14:textId="5FE37044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CE17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aemophilus</w:t>
            </w:r>
            <w:proofErr w:type="spellEnd"/>
            <w:r w:rsidR="00CE1745"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influenzae</w:t>
            </w:r>
          </w:p>
        </w:tc>
        <w:tc>
          <w:tcPr>
            <w:tcW w:w="1701" w:type="dxa"/>
          </w:tcPr>
          <w:p w14:paraId="13B06B4C" w14:textId="3F2C4CCD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(9.7)</w:t>
            </w:r>
          </w:p>
        </w:tc>
        <w:tc>
          <w:tcPr>
            <w:tcW w:w="1701" w:type="dxa"/>
          </w:tcPr>
          <w:p w14:paraId="7210FBED" w14:textId="1A6DA8E8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(4.8)</w:t>
            </w:r>
          </w:p>
        </w:tc>
        <w:tc>
          <w:tcPr>
            <w:tcW w:w="1270" w:type="dxa"/>
          </w:tcPr>
          <w:p w14:paraId="109DB194" w14:textId="24A1BC6B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</w:tr>
      <w:tr w:rsidR="004C3B35" w:rsidRPr="002165B5" w14:paraId="12686B03" w14:textId="77777777" w:rsidTr="000E2661">
        <w:tc>
          <w:tcPr>
            <w:tcW w:w="4390" w:type="dxa"/>
          </w:tcPr>
          <w:p w14:paraId="41037942" w14:textId="3356DA2A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E17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ranhamella</w:t>
            </w:r>
            <w:proofErr w:type="spellEnd"/>
            <w:r w:rsidRPr="002165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catarrhalis</w:t>
            </w:r>
          </w:p>
        </w:tc>
        <w:tc>
          <w:tcPr>
            <w:tcW w:w="1701" w:type="dxa"/>
          </w:tcPr>
          <w:p w14:paraId="3D4FB643" w14:textId="4CCEC762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(1.8)</w:t>
            </w:r>
          </w:p>
        </w:tc>
        <w:tc>
          <w:tcPr>
            <w:tcW w:w="1701" w:type="dxa"/>
          </w:tcPr>
          <w:p w14:paraId="361007A6" w14:textId="1CAA213D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(2.4)</w:t>
            </w:r>
          </w:p>
        </w:tc>
        <w:tc>
          <w:tcPr>
            <w:tcW w:w="1270" w:type="dxa"/>
          </w:tcPr>
          <w:p w14:paraId="200246F2" w14:textId="14950791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4C3B35" w:rsidRPr="002165B5" w14:paraId="1664DCB8" w14:textId="77777777" w:rsidTr="000E2661">
        <w:tc>
          <w:tcPr>
            <w:tcW w:w="4390" w:type="dxa"/>
          </w:tcPr>
          <w:p w14:paraId="4ADE154D" w14:textId="5C66D1F5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Anaerobic bacteria</w:t>
            </w:r>
          </w:p>
        </w:tc>
        <w:tc>
          <w:tcPr>
            <w:tcW w:w="1701" w:type="dxa"/>
          </w:tcPr>
          <w:p w14:paraId="44E40230" w14:textId="1EC7C7D4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(0.60)</w:t>
            </w:r>
          </w:p>
        </w:tc>
        <w:tc>
          <w:tcPr>
            <w:tcW w:w="1701" w:type="dxa"/>
          </w:tcPr>
          <w:p w14:paraId="7A34D5C2" w14:textId="7149CBA8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0" w:type="dxa"/>
          </w:tcPr>
          <w:p w14:paraId="57F96A03" w14:textId="0AB6B7AF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4C3B35" w:rsidRPr="002165B5" w14:paraId="4BE2BF65" w14:textId="77777777" w:rsidTr="000E2661">
        <w:tc>
          <w:tcPr>
            <w:tcW w:w="4390" w:type="dxa"/>
          </w:tcPr>
          <w:p w14:paraId="2A3DCB67" w14:textId="7060E0DB" w:rsidR="004C3B35" w:rsidRPr="002165B5" w:rsidRDefault="004C3B35" w:rsidP="00DA03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Miscellaneous</w:t>
            </w:r>
          </w:p>
        </w:tc>
        <w:tc>
          <w:tcPr>
            <w:tcW w:w="1701" w:type="dxa"/>
          </w:tcPr>
          <w:p w14:paraId="1FB10051" w14:textId="1611770E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(0.60)</w:t>
            </w:r>
          </w:p>
        </w:tc>
        <w:tc>
          <w:tcPr>
            <w:tcW w:w="1701" w:type="dxa"/>
          </w:tcPr>
          <w:p w14:paraId="6465EB5B" w14:textId="7A03F762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(1.2)</w:t>
            </w:r>
          </w:p>
        </w:tc>
        <w:tc>
          <w:tcPr>
            <w:tcW w:w="1270" w:type="dxa"/>
          </w:tcPr>
          <w:p w14:paraId="3502EA49" w14:textId="7F901628" w:rsidR="004C3B35" w:rsidRPr="002165B5" w:rsidRDefault="000C53D3" w:rsidP="00DA03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</w:tr>
      <w:tr w:rsidR="00CE1745" w:rsidRPr="002165B5" w14:paraId="0A24C0A3" w14:textId="77777777" w:rsidTr="00CE1745">
        <w:tc>
          <w:tcPr>
            <w:tcW w:w="4390" w:type="dxa"/>
          </w:tcPr>
          <w:p w14:paraId="5CDAC74F" w14:textId="4BEFF47A" w:rsidR="00CE1745" w:rsidRPr="00135A3F" w:rsidRDefault="00CE1745" w:rsidP="004A31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14:paraId="501CF9D0" w14:textId="09138E26" w:rsidR="00CE1745" w:rsidRPr="00135A3F" w:rsidRDefault="00CE1745" w:rsidP="004A31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</w:tcPr>
          <w:p w14:paraId="02A891C9" w14:textId="5B812F86" w:rsidR="00CE1745" w:rsidRPr="00135A3F" w:rsidRDefault="00CE1745" w:rsidP="004A31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135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0" w:type="dxa"/>
          </w:tcPr>
          <w:p w14:paraId="17ED6ABE" w14:textId="2B6E07EE" w:rsidR="00CE1745" w:rsidRPr="002165B5" w:rsidRDefault="00CE1745" w:rsidP="004A31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A87D81D" w14:textId="18DD95B0" w:rsidR="00732287" w:rsidRPr="0004104F" w:rsidRDefault="00290B40" w:rsidP="007A4A73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04F">
        <w:rPr>
          <w:rFonts w:ascii="Times New Roman" w:hAnsi="Times New Roman" w:cs="Times New Roman"/>
          <w:sz w:val="24"/>
          <w:szCs w:val="24"/>
          <w:lang w:val="en-US"/>
        </w:rPr>
        <w:t>MRSA: Methicillin-resistant Staphylococcus aureus</w:t>
      </w:r>
    </w:p>
    <w:p w14:paraId="07C439F6" w14:textId="6D738F49" w:rsidR="00290B40" w:rsidRPr="0004104F" w:rsidRDefault="00290B40" w:rsidP="00290B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04F">
        <w:rPr>
          <w:rFonts w:ascii="Times New Roman" w:hAnsi="Times New Roman" w:cs="Times New Roman"/>
          <w:sz w:val="24"/>
          <w:szCs w:val="24"/>
        </w:rPr>
        <w:t>MSSA:</w:t>
      </w:r>
      <w:proofErr w:type="gramEnd"/>
      <w:r w:rsidRPr="00041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04F">
        <w:rPr>
          <w:rFonts w:ascii="Times New Roman" w:hAnsi="Times New Roman" w:cs="Times New Roman"/>
          <w:sz w:val="24"/>
          <w:szCs w:val="24"/>
        </w:rPr>
        <w:t>Methicillin</w:t>
      </w:r>
      <w:proofErr w:type="spellEnd"/>
      <w:r w:rsidRPr="0004104F">
        <w:rPr>
          <w:rFonts w:ascii="Times New Roman" w:hAnsi="Times New Roman" w:cs="Times New Roman"/>
          <w:sz w:val="24"/>
          <w:szCs w:val="24"/>
        </w:rPr>
        <w:t>-sensible Staphylococcus aureus</w:t>
      </w:r>
    </w:p>
    <w:p w14:paraId="4B65234C" w14:textId="77777777" w:rsidR="002C63F5" w:rsidRPr="0004104F" w:rsidRDefault="002434CC" w:rsidP="007A4A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2C63F5" w:rsidRPr="000410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104F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bookmarkStart w:id="0" w:name="_Hlk102119910"/>
      <w:r w:rsidRPr="0004104F">
        <w:rPr>
          <w:rFonts w:ascii="Times New Roman" w:hAnsi="Times New Roman" w:cs="Times New Roman"/>
          <w:sz w:val="24"/>
          <w:szCs w:val="24"/>
          <w:lang w:val="en-US"/>
        </w:rPr>
        <w:t>Oropharyngeal flora was considered</w:t>
      </w:r>
      <w:r w:rsidR="0090005E" w:rsidRPr="0004104F">
        <w:rPr>
          <w:rFonts w:ascii="Times New Roman" w:hAnsi="Times New Roman" w:cs="Times New Roman"/>
          <w:sz w:val="24"/>
          <w:szCs w:val="24"/>
          <w:lang w:val="en-US"/>
        </w:rPr>
        <w:t xml:space="preserve"> as nosocomial pathogens only</w:t>
      </w:r>
      <w:r w:rsidR="00747312" w:rsidRPr="0004104F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72490E" w:rsidRPr="0004104F">
        <w:rPr>
          <w:rFonts w:ascii="Times New Roman" w:hAnsi="Times New Roman" w:cs="Times New Roman"/>
          <w:sz w:val="24"/>
          <w:szCs w:val="24"/>
          <w:lang w:val="en-US"/>
        </w:rPr>
        <w:t>more than 4% of bronchoalveolar lavage cells contained intracellular bacteria</w:t>
      </w:r>
      <w:bookmarkEnd w:id="0"/>
      <w:r w:rsidR="0072490E" w:rsidRPr="000410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F333688" w14:textId="4787BA44" w:rsidR="00E37F2F" w:rsidRPr="00AE4DD4" w:rsidRDefault="007A4A73" w:rsidP="00E37F2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0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e Figure </w:t>
      </w:r>
    </w:p>
    <w:p w14:paraId="1AC00289" w14:textId="17F99B04" w:rsidR="00E37F2F" w:rsidRPr="00AE4DD4" w:rsidRDefault="00E37F2F" w:rsidP="00E37F2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4D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e-Figure </w:t>
      </w:r>
      <w:r w:rsidR="00AE4DD4" w:rsidRPr="00AE4DD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AE4DD4">
        <w:rPr>
          <w:rFonts w:ascii="Times New Roman" w:hAnsi="Times New Roman" w:cs="Times New Roman"/>
          <w:b/>
          <w:bCs/>
          <w:sz w:val="24"/>
          <w:szCs w:val="24"/>
          <w:lang w:val="en-US"/>
        </w:rPr>
        <w:t>: Impact of antibiotic treatment</w:t>
      </w:r>
    </w:p>
    <w:p w14:paraId="532DF073" w14:textId="77777777" w:rsidR="00E37F2F" w:rsidRPr="00AE4DD4" w:rsidRDefault="00E37F2F" w:rsidP="00E37F2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AE4DD4">
        <w:rPr>
          <w:rFonts w:ascii="Times New Roman" w:hAnsi="Times New Roman" w:cs="Times New Roman"/>
          <w:sz w:val="24"/>
          <w:szCs w:val="24"/>
          <w:lang w:val="en-US"/>
        </w:rPr>
        <w:t>Antibiotherapy</w:t>
      </w:r>
      <w:proofErr w:type="spellEnd"/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 was escalated 20 times, </w:t>
      </w:r>
      <w:proofErr w:type="spellStart"/>
      <w:r w:rsidRPr="00AE4DD4">
        <w:rPr>
          <w:rFonts w:ascii="Times New Roman" w:hAnsi="Times New Roman" w:cs="Times New Roman"/>
          <w:sz w:val="24"/>
          <w:szCs w:val="24"/>
          <w:lang w:val="en-US"/>
        </w:rPr>
        <w:t>de escalated</w:t>
      </w:r>
      <w:proofErr w:type="spellEnd"/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 72 times, and unchanged 48 times.</w:t>
      </w:r>
    </w:p>
    <w:p w14:paraId="246E4BD6" w14:textId="77777777" w:rsidR="00E37F2F" w:rsidRPr="00AE4DD4" w:rsidRDefault="00E37F2F" w:rsidP="00E37F2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† </w:t>
      </w:r>
      <w:proofErr w:type="spellStart"/>
      <w:r w:rsidRPr="00AE4DD4">
        <w:rPr>
          <w:rFonts w:ascii="Times New Roman" w:hAnsi="Times New Roman" w:cs="Times New Roman"/>
          <w:sz w:val="24"/>
          <w:szCs w:val="24"/>
          <w:lang w:val="en-US"/>
        </w:rPr>
        <w:t>Antibiotherapy</w:t>
      </w:r>
      <w:proofErr w:type="spellEnd"/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proofErr w:type="spellStart"/>
      <w:r w:rsidRPr="00AE4DD4">
        <w:rPr>
          <w:rFonts w:ascii="Times New Roman" w:hAnsi="Times New Roman" w:cs="Times New Roman"/>
          <w:sz w:val="24"/>
          <w:szCs w:val="24"/>
          <w:lang w:val="en-US"/>
        </w:rPr>
        <w:t>adappted</w:t>
      </w:r>
      <w:proofErr w:type="spellEnd"/>
    </w:p>
    <w:p w14:paraId="36602556" w14:textId="77777777" w:rsidR="00E37F2F" w:rsidRPr="00AE4DD4" w:rsidRDefault="00E37F2F" w:rsidP="00E37F2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‡ Empirical or adapted </w:t>
      </w:r>
      <w:proofErr w:type="spellStart"/>
      <w:r w:rsidRPr="00AE4DD4">
        <w:rPr>
          <w:rFonts w:ascii="Times New Roman" w:hAnsi="Times New Roman" w:cs="Times New Roman"/>
          <w:sz w:val="24"/>
          <w:szCs w:val="24"/>
          <w:lang w:val="en-US"/>
        </w:rPr>
        <w:t>antibiotherapy</w:t>
      </w:r>
      <w:proofErr w:type="spellEnd"/>
      <w:r w:rsidRPr="00AE4DD4">
        <w:rPr>
          <w:rFonts w:ascii="Times New Roman" w:hAnsi="Times New Roman" w:cs="Times New Roman"/>
          <w:sz w:val="24"/>
          <w:szCs w:val="24"/>
          <w:lang w:val="en-US"/>
        </w:rPr>
        <w:t xml:space="preserve"> was initiated</w:t>
      </w:r>
    </w:p>
    <w:p w14:paraId="28C6D72B" w14:textId="5BCFD8AE" w:rsidR="002C63F5" w:rsidRDefault="00CC5A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C63F5" w:rsidSect="002C63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pict w14:anchorId="0F142F4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28.85pt;margin-top:-52.1pt;width:112.35pt;height:22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0">
            <v:textbox style="mso-next-textbox:#Zone de texte 2;mso-fit-shape-to-text:t">
              <w:txbxContent>
                <w:p w14:paraId="36B3F371" w14:textId="21242303" w:rsidR="002C63F5" w:rsidRPr="0004104F" w:rsidRDefault="002C63F5" w:rsidP="00041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410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e-Figure </w:t>
                  </w:r>
                  <w:r w:rsidR="00AE4D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7A4A7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C8A6123" wp14:editId="40267093">
            <wp:extent cx="9455785" cy="6273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85" cy="627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6B4CB" w14:textId="1DB99EBB" w:rsidR="007A4A73" w:rsidRPr="0004104F" w:rsidRDefault="007A4A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71C53E" w14:textId="5AF4CB0E" w:rsidR="00C46658" w:rsidRPr="002165B5" w:rsidRDefault="00FC28CD" w:rsidP="00C466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e-appendix </w:t>
      </w:r>
      <w:r w:rsidR="00A905F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46658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 </w:t>
      </w:r>
      <w:r w:rsidR="00A905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135A3F">
        <w:rPr>
          <w:rFonts w:ascii="Times New Roman" w:hAnsi="Times New Roman" w:cs="Times New Roman"/>
          <w:b/>
          <w:sz w:val="24"/>
          <w:szCs w:val="24"/>
          <w:lang w:val="en-US"/>
        </w:rPr>
        <w:t>NOSOP</w:t>
      </w:r>
      <w:r w:rsidR="00A905F8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prediction </w:t>
      </w:r>
    </w:p>
    <w:p w14:paraId="3AB67128" w14:textId="090AD8BF" w:rsidR="00732287" w:rsidRPr="002165B5" w:rsidRDefault="00A854D4" w:rsidP="00135A3F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 predict the risk of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>ICU-acquired 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>in an individual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starting score is added to the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adjusted </w:t>
      </w:r>
      <w:r>
        <w:rPr>
          <w:rFonts w:ascii="Times New Roman" w:hAnsi="Times New Roman" w:cs="Times New Roman"/>
          <w:sz w:val="24"/>
          <w:szCs w:val="24"/>
          <w:lang w:val="en-US"/>
        </w:rPr>
        <w:t>weights of evidence</w:t>
      </w:r>
      <w:r w:rsidRPr="00A8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for that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obtain the total score (</w:t>
      </w:r>
      <w:r w:rsidR="00C46658"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4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converts the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total score into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probability of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 xml:space="preserve">ICU-acquired </w:t>
      </w:r>
      <w:proofErr w:type="gramStart"/>
      <w:r w:rsidR="00E85562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instance, in a patient with complications after mitral surgery requiring invasive mechanical ventilation but no antibiotic therapy, the occurrence o</w:t>
      </w:r>
      <w:r w:rsidR="00710F59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fourth postoperative day of a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fever and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leukocytosis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purulent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tracheal secretions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SOFA score </w:t>
      </w:r>
      <w:r w:rsidR="00710F59">
        <w:rPr>
          <w:rFonts w:ascii="Times New Roman" w:hAnsi="Times New Roman" w:cs="Times New Roman"/>
          <w:sz w:val="24"/>
          <w:szCs w:val="24"/>
          <w:lang w:val="en-US"/>
        </w:rPr>
        <w:t xml:space="preserve">increase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≥2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</w:t>
      </w:r>
      <w:r w:rsidR="00710F5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 xml:space="preserve">ICU-acquired </w:t>
      </w:r>
      <w:proofErr w:type="gramStart"/>
      <w:r w:rsidR="00E85562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The adjusted weights of evidence for an unchanged SOFA score (+72), purulent tracheal secretions (+11), leukocytosis (-4), mechanical ventilation (+3),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no antibio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tic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therapy (+2) </w:t>
      </w:r>
      <w:r w:rsidR="00E5180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added to the starting score (-41) (</w:t>
      </w:r>
      <w:r w:rsidR="00FE2ADA"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4</w:t>
      </w:r>
      <w:r w:rsidR="00E5180F" w:rsidRPr="002165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180F">
        <w:rPr>
          <w:rFonts w:ascii="Times New Roman" w:hAnsi="Times New Roman" w:cs="Times New Roman"/>
          <w:sz w:val="24"/>
          <w:szCs w:val="24"/>
          <w:lang w:val="en-US"/>
        </w:rPr>
        <w:t xml:space="preserve"> to obtain the total</w:t>
      </w:r>
      <w:r w:rsidR="00E5180F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score </w:t>
      </w:r>
      <w:r w:rsidR="00E5180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5180F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+43</w:t>
      </w:r>
      <w:r w:rsidR="00E5180F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710F59">
        <w:rPr>
          <w:rFonts w:ascii="Times New Roman" w:hAnsi="Times New Roman" w:cs="Times New Roman"/>
          <w:sz w:val="24"/>
          <w:szCs w:val="24"/>
          <w:lang w:val="en-US"/>
        </w:rPr>
        <w:t>yields a t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otal score of +43 </w:t>
      </w:r>
      <w:r w:rsidR="00710F59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predicted probability of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>ICU-acquired 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of 60% (</w:t>
      </w:r>
      <w:r w:rsidR="00FE2ADA" w:rsidRPr="002165B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  <w:r w:rsidR="00FE2ADA" w:rsidRPr="002165B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5ABA288" w14:textId="77777777" w:rsidR="00732287" w:rsidRPr="002165B5" w:rsidRDefault="00732287" w:rsidP="00135A3F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423F022" w14:textId="36A6E93F" w:rsidR="00C46658" w:rsidRPr="002165B5" w:rsidRDefault="00C46658" w:rsidP="00C4665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FC28CD" w:rsidRPr="002165B5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r w:rsidRPr="002165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732287" w:rsidRPr="002165B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. Event Net Reclassification </w:t>
      </w:r>
      <w:r w:rsidR="00022E19">
        <w:rPr>
          <w:rFonts w:ascii="Times New Roman" w:hAnsi="Times New Roman" w:cs="Times New Roman"/>
          <w:sz w:val="24"/>
          <w:szCs w:val="24"/>
          <w:lang w:val="en-US"/>
        </w:rPr>
        <w:t xml:space="preserve">Index (NRI;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>ICU-acquired pneumonia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(A)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22E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onevent </w:t>
      </w:r>
      <w:r w:rsidR="00022E19">
        <w:rPr>
          <w:rFonts w:ascii="Times New Roman" w:hAnsi="Times New Roman" w:cs="Times New Roman"/>
          <w:sz w:val="24"/>
          <w:szCs w:val="24"/>
          <w:lang w:val="en-US"/>
        </w:rPr>
        <w:t>NRI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(patients without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 xml:space="preserve">ICU-acquired </w:t>
      </w:r>
      <w:proofErr w:type="gramStart"/>
      <w:r w:rsidR="00E85562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>(B)</w:t>
      </w:r>
    </w:p>
    <w:p w14:paraId="32C72528" w14:textId="3C4EEDC7" w:rsidR="00C46658" w:rsidRPr="00241214" w:rsidRDefault="00A905F8" w:rsidP="00C466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46658"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Event </w:t>
      </w:r>
      <w:r w:rsidR="00022E19">
        <w:rPr>
          <w:rFonts w:ascii="Times New Roman" w:hAnsi="Times New Roman" w:cs="Times New Roman"/>
          <w:b/>
          <w:bCs/>
          <w:sz w:val="24"/>
          <w:szCs w:val="24"/>
          <w:lang w:val="en-US"/>
        </w:rPr>
        <w:t>NRI</w:t>
      </w:r>
      <w:r w:rsidR="00022E19"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6658"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validation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-cohort </w:t>
      </w:r>
      <w:r w:rsidR="00C46658"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patients with </w:t>
      </w:r>
      <w:r w:rsidR="00295928" w:rsidRPr="0029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ICU-acquired pneumonia</w:t>
      </w:r>
      <w:r w:rsidR="00C46658" w:rsidRPr="0024121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C46658" w:rsidRPr="00290B40" w14:paraId="06743297" w14:textId="77777777" w:rsidTr="00241214">
        <w:tc>
          <w:tcPr>
            <w:tcW w:w="1555" w:type="dxa"/>
          </w:tcPr>
          <w:p w14:paraId="1CE931C5" w14:textId="3D3FC76D" w:rsidR="00C46658" w:rsidRPr="00241214" w:rsidRDefault="00C46658" w:rsidP="002412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N=78</w:t>
            </w:r>
          </w:p>
        </w:tc>
        <w:tc>
          <w:tcPr>
            <w:tcW w:w="3685" w:type="dxa"/>
          </w:tcPr>
          <w:p w14:paraId="39271BEC" w14:textId="474BC8F2" w:rsidR="00C46658" w:rsidRPr="00241214" w:rsidRDefault="00022E19" w:rsidP="008F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Probability given by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model</w:t>
            </w:r>
            <w:r w:rsidR="00856E19" w:rsidRPr="00BB6E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46658" w:rsidRPr="00241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≤35%</w:t>
            </w:r>
          </w:p>
        </w:tc>
        <w:tc>
          <w:tcPr>
            <w:tcW w:w="3822" w:type="dxa"/>
          </w:tcPr>
          <w:p w14:paraId="2C66FFE8" w14:textId="587D4441" w:rsidR="00C46658" w:rsidRPr="00241214" w:rsidRDefault="00022E19" w:rsidP="008F1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Probability given by the model</w:t>
            </w:r>
            <w:r w:rsidR="00C46658" w:rsidRPr="00241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&gt;35%</w:t>
            </w:r>
          </w:p>
        </w:tc>
      </w:tr>
      <w:tr w:rsidR="00C46658" w:rsidRPr="002165B5" w14:paraId="40EDBC6C" w14:textId="77777777" w:rsidTr="00241214">
        <w:tc>
          <w:tcPr>
            <w:tcW w:w="1555" w:type="dxa"/>
          </w:tcPr>
          <w:p w14:paraId="32C56D06" w14:textId="4168D6C3" w:rsidR="00C46658" w:rsidRPr="008F15D6" w:rsidRDefault="00C46658" w:rsidP="004A31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CPIS ≤6</w:t>
            </w:r>
            <w:r w:rsidR="00856E19" w:rsidRPr="00BB6E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685" w:type="dxa"/>
          </w:tcPr>
          <w:p w14:paraId="5AF4526C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2" w:type="dxa"/>
          </w:tcPr>
          <w:p w14:paraId="6A0AF1DE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C46658" w:rsidRPr="002165B5" w14:paraId="027D9C04" w14:textId="77777777" w:rsidTr="00241214">
        <w:tc>
          <w:tcPr>
            <w:tcW w:w="1555" w:type="dxa"/>
          </w:tcPr>
          <w:p w14:paraId="7B624EDA" w14:textId="77777777" w:rsidR="00C46658" w:rsidRPr="008F15D6" w:rsidRDefault="00C46658" w:rsidP="004A31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CPIS &gt;6</w:t>
            </w:r>
          </w:p>
        </w:tc>
        <w:tc>
          <w:tcPr>
            <w:tcW w:w="3685" w:type="dxa"/>
          </w:tcPr>
          <w:p w14:paraId="0577F650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2" w:type="dxa"/>
          </w:tcPr>
          <w:p w14:paraId="66310AF1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7DED4A90" w14:textId="7C1288FC" w:rsidR="00C46658" w:rsidRPr="002165B5" w:rsidRDefault="00C46658" w:rsidP="008F15D6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Event </w:t>
      </w:r>
      <w:r w:rsidR="00022E19">
        <w:rPr>
          <w:rFonts w:ascii="Times New Roman" w:hAnsi="Times New Roman" w:cs="Times New Roman"/>
          <w:sz w:val="24"/>
          <w:szCs w:val="24"/>
          <w:lang w:val="en-US"/>
        </w:rPr>
        <w:t>NRI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>: (31-8)/78=0.295</w:t>
      </w:r>
    </w:p>
    <w:p w14:paraId="5B85AFB3" w14:textId="3B04C79B" w:rsidR="00C46658" w:rsidRPr="008F15D6" w:rsidRDefault="00A905F8" w:rsidP="00C466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46658" w:rsidRP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Nonevent </w:t>
      </w:r>
      <w:r w:rsidR="00022E19">
        <w:rPr>
          <w:rFonts w:ascii="Times New Roman" w:hAnsi="Times New Roman" w:cs="Times New Roman"/>
          <w:b/>
          <w:bCs/>
          <w:sz w:val="24"/>
          <w:szCs w:val="24"/>
          <w:lang w:val="en-US"/>
        </w:rPr>
        <w:t>NRI</w:t>
      </w:r>
      <w:r w:rsidR="00C46658" w:rsidRP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-cohort </w:t>
      </w:r>
      <w:r w:rsidR="00C46658" w:rsidRP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patients without </w:t>
      </w:r>
      <w:r w:rsidR="00295928" w:rsidRPr="00295928">
        <w:rPr>
          <w:rFonts w:ascii="Times New Roman" w:hAnsi="Times New Roman" w:cs="Times New Roman"/>
          <w:b/>
          <w:bCs/>
          <w:sz w:val="24"/>
          <w:szCs w:val="24"/>
          <w:lang w:val="en-US"/>
        </w:rPr>
        <w:t>ICU-acquired pneumonia</w:t>
      </w:r>
      <w:r w:rsidR="00C46658" w:rsidRPr="008F15D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C46658" w:rsidRPr="00290B40" w14:paraId="1CCFF242" w14:textId="77777777" w:rsidTr="008F15D6">
        <w:tc>
          <w:tcPr>
            <w:tcW w:w="1555" w:type="dxa"/>
          </w:tcPr>
          <w:p w14:paraId="32B2487C" w14:textId="77777777" w:rsidR="00C46658" w:rsidRPr="008F15D6" w:rsidRDefault="00C46658" w:rsidP="004A31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N=130</w:t>
            </w:r>
          </w:p>
        </w:tc>
        <w:tc>
          <w:tcPr>
            <w:tcW w:w="3685" w:type="dxa"/>
          </w:tcPr>
          <w:p w14:paraId="7C938A72" w14:textId="3CC2C512" w:rsidR="00C46658" w:rsidRPr="008F15D6" w:rsidRDefault="00022E19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Probability given by the model</w:t>
            </w:r>
            <w:r w:rsidR="00C46658"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≤35%</w:t>
            </w:r>
          </w:p>
        </w:tc>
        <w:tc>
          <w:tcPr>
            <w:tcW w:w="3822" w:type="dxa"/>
          </w:tcPr>
          <w:p w14:paraId="4333299B" w14:textId="4F99FE29" w:rsidR="00C46658" w:rsidRPr="008F15D6" w:rsidRDefault="00022E19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Probability given by the model</w:t>
            </w:r>
            <w:r w:rsidR="00C46658"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&gt;35%</w:t>
            </w:r>
          </w:p>
        </w:tc>
      </w:tr>
      <w:tr w:rsidR="00C46658" w:rsidRPr="002165B5" w14:paraId="39527AA6" w14:textId="77777777" w:rsidTr="008F15D6">
        <w:tc>
          <w:tcPr>
            <w:tcW w:w="1555" w:type="dxa"/>
          </w:tcPr>
          <w:p w14:paraId="708D845F" w14:textId="77777777" w:rsidR="00C46658" w:rsidRPr="008F15D6" w:rsidRDefault="00C46658" w:rsidP="004A31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CPIS ≤6</w:t>
            </w:r>
          </w:p>
        </w:tc>
        <w:tc>
          <w:tcPr>
            <w:tcW w:w="3685" w:type="dxa"/>
          </w:tcPr>
          <w:p w14:paraId="001C2BC6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822" w:type="dxa"/>
          </w:tcPr>
          <w:p w14:paraId="53C7F6C3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C46658" w:rsidRPr="002165B5" w14:paraId="3F8459D6" w14:textId="77777777" w:rsidTr="008F15D6">
        <w:tc>
          <w:tcPr>
            <w:tcW w:w="1555" w:type="dxa"/>
          </w:tcPr>
          <w:p w14:paraId="2C37F212" w14:textId="77777777" w:rsidR="00C46658" w:rsidRPr="008F15D6" w:rsidRDefault="00C46658" w:rsidP="004A31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5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CPIS &gt;6</w:t>
            </w:r>
          </w:p>
        </w:tc>
        <w:tc>
          <w:tcPr>
            <w:tcW w:w="3685" w:type="dxa"/>
          </w:tcPr>
          <w:p w14:paraId="794E661E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2" w:type="dxa"/>
          </w:tcPr>
          <w:p w14:paraId="4FB074F9" w14:textId="77777777" w:rsidR="00C46658" w:rsidRPr="002165B5" w:rsidRDefault="00C46658" w:rsidP="008F15D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14:paraId="3655AB51" w14:textId="6E03D16D" w:rsidR="00856E19" w:rsidRDefault="00022E19" w:rsidP="00856E19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Nonevent NRI</w:t>
      </w:r>
      <w:r w:rsidR="00C46658" w:rsidRPr="002165B5">
        <w:rPr>
          <w:rFonts w:ascii="Times New Roman" w:hAnsi="Times New Roman" w:cs="Times New Roman"/>
          <w:sz w:val="24"/>
          <w:szCs w:val="24"/>
          <w:lang w:val="en-US"/>
        </w:rPr>
        <w:t>: (20-39)/130 = -0.146</w:t>
      </w:r>
    </w:p>
    <w:p w14:paraId="23863397" w14:textId="416A56C2" w:rsidR="00856E19" w:rsidRDefault="00784D86" w:rsidP="00856E19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6E19">
        <w:rPr>
          <w:rFonts w:ascii="Times New Roman" w:hAnsi="Times New Roman" w:cs="Times New Roman"/>
          <w:sz w:val="24"/>
          <w:szCs w:val="24"/>
          <w:lang w:val="en-US"/>
        </w:rPr>
        <w:t xml:space="preserve">: The CPIS was available for 213 episodes of suspected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>ICU-acquired 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553E2E" w14:textId="278F14F6" w:rsidR="00856E19" w:rsidRDefault="00784D86" w:rsidP="00784D86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6E19">
        <w:rPr>
          <w:rFonts w:ascii="Times New Roman" w:hAnsi="Times New Roman" w:cs="Times New Roman"/>
          <w:sz w:val="24"/>
          <w:szCs w:val="24"/>
          <w:lang w:val="en-US"/>
        </w:rPr>
        <w:t>: the</w:t>
      </w:r>
      <w:r w:rsidR="00856E19" w:rsidRPr="00C76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E19">
        <w:rPr>
          <w:rFonts w:ascii="Times New Roman" w:hAnsi="Times New Roman" w:cs="Times New Roman"/>
          <w:sz w:val="24"/>
          <w:szCs w:val="24"/>
          <w:lang w:val="en-US"/>
        </w:rPr>
        <w:t xml:space="preserve">SOFA </w:t>
      </w:r>
      <w:proofErr w:type="spellStart"/>
      <w:r w:rsidR="00856E19" w:rsidRPr="00C76D4A">
        <w:rPr>
          <w:rFonts w:ascii="Times New Roman" w:hAnsi="Times New Roman" w:cs="Times New Roman"/>
          <w:sz w:val="24"/>
          <w:szCs w:val="24"/>
          <w:lang w:val="en-US"/>
        </w:rPr>
        <w:t>Spiegelhalter</w:t>
      </w:r>
      <w:proofErr w:type="spellEnd"/>
      <w:r w:rsidR="00856E19" w:rsidRPr="00C76D4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56E19" w:rsidRPr="00C76D4A">
        <w:rPr>
          <w:rFonts w:ascii="Times New Roman" w:hAnsi="Times New Roman" w:cs="Times New Roman"/>
          <w:sz w:val="24"/>
          <w:szCs w:val="24"/>
          <w:lang w:val="en-US"/>
        </w:rPr>
        <w:t>Knill</w:t>
      </w:r>
      <w:proofErr w:type="spellEnd"/>
      <w:r w:rsidR="00856E19" w:rsidRPr="00C76D4A">
        <w:rPr>
          <w:rFonts w:ascii="Times New Roman" w:hAnsi="Times New Roman" w:cs="Times New Roman"/>
          <w:sz w:val="24"/>
          <w:szCs w:val="24"/>
          <w:lang w:val="en-US"/>
        </w:rPr>
        <w:t xml:space="preserve">-Jones </w:t>
      </w:r>
      <w:r w:rsidR="00856E19">
        <w:rPr>
          <w:rFonts w:ascii="Times New Roman" w:hAnsi="Times New Roman" w:cs="Times New Roman"/>
          <w:sz w:val="24"/>
          <w:szCs w:val="24"/>
          <w:lang w:val="en-US"/>
        </w:rPr>
        <w:t xml:space="preserve">model was available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210 episodes of suspected </w:t>
      </w:r>
      <w:r w:rsidR="00E85562">
        <w:rPr>
          <w:rFonts w:ascii="Times New Roman" w:hAnsi="Times New Roman" w:cs="Times New Roman"/>
          <w:sz w:val="24"/>
          <w:szCs w:val="24"/>
          <w:lang w:val="en-US"/>
        </w:rPr>
        <w:t>ICU-acquired pneumonia</w:t>
      </w:r>
      <w:r w:rsidR="00E85562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C84E98" w14:textId="3723FBF5" w:rsidR="00A3378A" w:rsidRPr="00A3378A" w:rsidRDefault="00C46658" w:rsidP="00AE4D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5B5">
        <w:rPr>
          <w:rFonts w:ascii="Times New Roman" w:hAnsi="Times New Roman" w:cs="Times New Roman"/>
          <w:sz w:val="24"/>
          <w:szCs w:val="24"/>
          <w:lang w:val="en-US"/>
        </w:rPr>
        <w:t>CPIS</w:t>
      </w:r>
      <w:r w:rsidR="00A905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05F8"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5B5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A905F8" w:rsidRPr="002165B5">
        <w:rPr>
          <w:rFonts w:ascii="Times New Roman" w:hAnsi="Times New Roman" w:cs="Times New Roman"/>
          <w:sz w:val="24"/>
          <w:szCs w:val="24"/>
          <w:lang w:val="en-US"/>
        </w:rPr>
        <w:t>Pulmonary Infection Score</w:t>
      </w:r>
    </w:p>
    <w:sectPr w:rsidR="00A3378A" w:rsidRPr="00A3378A" w:rsidSect="002C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E64" w14:textId="77777777" w:rsidR="002C63F5" w:rsidRDefault="002C63F5" w:rsidP="002C63F5">
      <w:pPr>
        <w:spacing w:after="0" w:line="240" w:lineRule="auto"/>
      </w:pPr>
      <w:r>
        <w:separator/>
      </w:r>
    </w:p>
  </w:endnote>
  <w:endnote w:type="continuationSeparator" w:id="0">
    <w:p w14:paraId="2562D2AC" w14:textId="77777777" w:rsidR="002C63F5" w:rsidRDefault="002C63F5" w:rsidP="002C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66F2" w14:textId="77777777" w:rsidR="002C63F5" w:rsidRDefault="002C63F5" w:rsidP="002C63F5">
      <w:pPr>
        <w:spacing w:after="0" w:line="240" w:lineRule="auto"/>
      </w:pPr>
      <w:r>
        <w:separator/>
      </w:r>
    </w:p>
  </w:footnote>
  <w:footnote w:type="continuationSeparator" w:id="0">
    <w:p w14:paraId="2C6BC614" w14:textId="77777777" w:rsidR="002C63F5" w:rsidRDefault="002C63F5" w:rsidP="002C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35"/>
    <w:rsid w:val="00022E19"/>
    <w:rsid w:val="00035490"/>
    <w:rsid w:val="0004104F"/>
    <w:rsid w:val="000C53D3"/>
    <w:rsid w:val="000D5E1E"/>
    <w:rsid w:val="000E2661"/>
    <w:rsid w:val="00106313"/>
    <w:rsid w:val="00135A3F"/>
    <w:rsid w:val="001E1382"/>
    <w:rsid w:val="002165B5"/>
    <w:rsid w:val="00230DD4"/>
    <w:rsid w:val="00241214"/>
    <w:rsid w:val="002434CC"/>
    <w:rsid w:val="002459A9"/>
    <w:rsid w:val="00246839"/>
    <w:rsid w:val="002701F5"/>
    <w:rsid w:val="00282F65"/>
    <w:rsid w:val="00290B40"/>
    <w:rsid w:val="00295928"/>
    <w:rsid w:val="002C01BA"/>
    <w:rsid w:val="002C63F5"/>
    <w:rsid w:val="0034758A"/>
    <w:rsid w:val="003A5B16"/>
    <w:rsid w:val="003E5DEE"/>
    <w:rsid w:val="00417F7F"/>
    <w:rsid w:val="00496E9B"/>
    <w:rsid w:val="004A095C"/>
    <w:rsid w:val="004A3150"/>
    <w:rsid w:val="004C3B35"/>
    <w:rsid w:val="00537654"/>
    <w:rsid w:val="005663C7"/>
    <w:rsid w:val="005A1C03"/>
    <w:rsid w:val="005A67F2"/>
    <w:rsid w:val="00623E20"/>
    <w:rsid w:val="00691F0B"/>
    <w:rsid w:val="006A3621"/>
    <w:rsid w:val="00710F59"/>
    <w:rsid w:val="0072490E"/>
    <w:rsid w:val="00732287"/>
    <w:rsid w:val="00747312"/>
    <w:rsid w:val="007774D0"/>
    <w:rsid w:val="00781B28"/>
    <w:rsid w:val="0078310C"/>
    <w:rsid w:val="00784D86"/>
    <w:rsid w:val="007A4A73"/>
    <w:rsid w:val="007F494A"/>
    <w:rsid w:val="00804B4C"/>
    <w:rsid w:val="00831854"/>
    <w:rsid w:val="00855085"/>
    <w:rsid w:val="00856E19"/>
    <w:rsid w:val="00866B21"/>
    <w:rsid w:val="008C5200"/>
    <w:rsid w:val="008F15D6"/>
    <w:rsid w:val="0090005E"/>
    <w:rsid w:val="009E201C"/>
    <w:rsid w:val="00A3378A"/>
    <w:rsid w:val="00A727E6"/>
    <w:rsid w:val="00A854D4"/>
    <w:rsid w:val="00A86C40"/>
    <w:rsid w:val="00A905F8"/>
    <w:rsid w:val="00AC4AB1"/>
    <w:rsid w:val="00AE4DD4"/>
    <w:rsid w:val="00B41E86"/>
    <w:rsid w:val="00BB6E59"/>
    <w:rsid w:val="00C46658"/>
    <w:rsid w:val="00C53C14"/>
    <w:rsid w:val="00C578D7"/>
    <w:rsid w:val="00C8052A"/>
    <w:rsid w:val="00CC5A31"/>
    <w:rsid w:val="00CE1745"/>
    <w:rsid w:val="00D33777"/>
    <w:rsid w:val="00DA0320"/>
    <w:rsid w:val="00E0583F"/>
    <w:rsid w:val="00E37F2F"/>
    <w:rsid w:val="00E5180F"/>
    <w:rsid w:val="00E7568F"/>
    <w:rsid w:val="00E85562"/>
    <w:rsid w:val="00F14310"/>
    <w:rsid w:val="00F63155"/>
    <w:rsid w:val="00F766F9"/>
    <w:rsid w:val="00FC28CD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95FD8A"/>
  <w15:docId w15:val="{C140705E-2D0D-475D-AA7D-1073A64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6B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B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B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B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B2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7F2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F5"/>
  </w:style>
  <w:style w:type="paragraph" w:styleId="Pieddepage">
    <w:name w:val="footer"/>
    <w:basedOn w:val="Normal"/>
    <w:link w:val="PieddepageCar"/>
    <w:uiPriority w:val="99"/>
    <w:unhideWhenUsed/>
    <w:rsid w:val="002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062B-2BE8-4E63-968B-CAEFA223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1072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STEPHAN</dc:creator>
  <cp:keywords/>
  <dc:description/>
  <cp:lastModifiedBy>Francois STEPHAN</cp:lastModifiedBy>
  <cp:revision>14</cp:revision>
  <dcterms:created xsi:type="dcterms:W3CDTF">2022-04-29T07:50:00Z</dcterms:created>
  <dcterms:modified xsi:type="dcterms:W3CDTF">2022-05-07T07:54:00Z</dcterms:modified>
</cp:coreProperties>
</file>